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1E1F" w14:textId="77777777" w:rsidR="0067168E" w:rsidRPr="0067168E" w:rsidRDefault="0067168E" w:rsidP="0067168E">
      <w:pPr>
        <w:ind w:left="720" w:firstLine="720"/>
        <w:rPr>
          <w:b/>
          <w:bCs/>
          <w:u w:val="single"/>
          <w:lang w:val="fr-FR"/>
        </w:rPr>
      </w:pPr>
      <w:r w:rsidRPr="0067168E">
        <w:rPr>
          <w:b/>
          <w:bCs/>
          <w:u w:val="single"/>
          <w:lang w:val="fr-FR"/>
        </w:rPr>
        <w:t>Facturation électronique obligatoire pour les médecins</w:t>
      </w:r>
    </w:p>
    <w:p w14:paraId="7E86E73B" w14:textId="77777777" w:rsidR="000928E2" w:rsidRPr="0067168E" w:rsidRDefault="000928E2">
      <w:pPr>
        <w:rPr>
          <w:lang w:val="fr-FR"/>
        </w:rPr>
      </w:pPr>
    </w:p>
    <w:p w14:paraId="5D5AF8AE" w14:textId="77777777" w:rsidR="000928E2" w:rsidRPr="0067168E" w:rsidRDefault="000928E2">
      <w:pPr>
        <w:rPr>
          <w:lang w:val="fr-FR"/>
        </w:rPr>
      </w:pPr>
    </w:p>
    <w:p w14:paraId="4368F1B7" w14:textId="77777777" w:rsidR="000928E2" w:rsidRPr="000928E2" w:rsidRDefault="000928E2" w:rsidP="000928E2">
      <w:pPr>
        <w:rPr>
          <w:b/>
          <w:bCs/>
          <w:lang w:val="fr-FR"/>
        </w:rPr>
      </w:pPr>
      <w:r w:rsidRPr="000928E2">
        <w:rPr>
          <w:b/>
          <w:bCs/>
          <w:lang w:val="fr-FR"/>
        </w:rPr>
        <w:t>Question 1 : Délai de transfert des données</w:t>
      </w:r>
    </w:p>
    <w:p w14:paraId="2C0DCC21" w14:textId="77777777" w:rsidR="000928E2" w:rsidRPr="000928E2" w:rsidRDefault="000928E2" w:rsidP="000928E2">
      <w:pPr>
        <w:rPr>
          <w:b/>
          <w:bCs/>
          <w:lang w:val="fr-FR"/>
        </w:rPr>
      </w:pPr>
    </w:p>
    <w:p w14:paraId="285CCEE1" w14:textId="77777777" w:rsidR="000928E2" w:rsidRPr="000928E2" w:rsidRDefault="000928E2" w:rsidP="000928E2">
      <w:pPr>
        <w:numPr>
          <w:ilvl w:val="0"/>
          <w:numId w:val="1"/>
        </w:numPr>
        <w:rPr>
          <w:lang w:val="fr-FR"/>
        </w:rPr>
      </w:pPr>
      <w:r w:rsidRPr="000928E2">
        <w:rPr>
          <w:lang w:val="fr-FR"/>
        </w:rPr>
        <w:t xml:space="preserve">Est-il absolument exclu de transmettre une attestation électronique à une date ultérieure à celle de la prestation pour </w:t>
      </w:r>
      <w:r w:rsidRPr="000928E2">
        <w:rPr>
          <w:b/>
          <w:bCs/>
          <w:lang w:val="fr-FR"/>
        </w:rPr>
        <w:t>e-</w:t>
      </w:r>
      <w:proofErr w:type="spellStart"/>
      <w:r w:rsidRPr="000928E2">
        <w:rPr>
          <w:b/>
          <w:bCs/>
          <w:lang w:val="fr-FR"/>
        </w:rPr>
        <w:t>Attest</w:t>
      </w:r>
      <w:proofErr w:type="spellEnd"/>
      <w:r w:rsidRPr="000928E2">
        <w:rPr>
          <w:lang w:val="fr-FR"/>
        </w:rPr>
        <w:t xml:space="preserve"> ? </w:t>
      </w:r>
    </w:p>
    <w:p w14:paraId="0B794CC2" w14:textId="597C73AC" w:rsidR="000928E2" w:rsidRPr="000928E2" w:rsidRDefault="000928E2" w:rsidP="00027F96">
      <w:pPr>
        <w:rPr>
          <w:i/>
          <w:iCs/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Oui cela est exclu</w:t>
      </w:r>
      <w:r w:rsidR="00027F96">
        <w:rPr>
          <w:color w:val="0B769F" w:themeColor="accent4" w:themeShade="BF"/>
          <w:lang w:val="fr-FR"/>
        </w:rPr>
        <w:t>.</w:t>
      </w:r>
      <w:r w:rsidRPr="000928E2">
        <w:rPr>
          <w:color w:val="0B769F" w:themeColor="accent4" w:themeShade="BF"/>
          <w:lang w:val="fr-FR"/>
        </w:rPr>
        <w:t xml:space="preserve"> </w:t>
      </w:r>
      <w:proofErr w:type="spellStart"/>
      <w:r w:rsidR="00027F96" w:rsidRPr="000928E2">
        <w:rPr>
          <w:color w:val="0B769F" w:themeColor="accent4" w:themeShade="BF"/>
          <w:lang w:val="fr-FR"/>
        </w:rPr>
        <w:t>eAttest</w:t>
      </w:r>
      <w:proofErr w:type="spellEnd"/>
      <w:r w:rsidR="00027F96" w:rsidRPr="000928E2">
        <w:rPr>
          <w:color w:val="0B769F" w:themeColor="accent4" w:themeShade="BF"/>
          <w:lang w:val="fr-FR"/>
        </w:rPr>
        <w:t xml:space="preserve"> est, par définition, le circuit électronique de paiement comptant. </w:t>
      </w:r>
      <w:r w:rsidR="00027F96" w:rsidRPr="00027F96">
        <w:rPr>
          <w:color w:val="0B769F" w:themeColor="accent4" w:themeShade="BF"/>
          <w:lang w:val="fr-FR"/>
        </w:rPr>
        <w:t>S</w:t>
      </w:r>
      <w:r w:rsidRPr="000928E2">
        <w:rPr>
          <w:color w:val="0B769F" w:themeColor="accent4" w:themeShade="BF"/>
          <w:lang w:val="fr-FR"/>
        </w:rPr>
        <w:t xml:space="preserve">i néanmoins une </w:t>
      </w:r>
      <w:proofErr w:type="spellStart"/>
      <w:r w:rsidRPr="000928E2">
        <w:rPr>
          <w:color w:val="0B769F" w:themeColor="accent4" w:themeShade="BF"/>
          <w:lang w:val="fr-FR"/>
        </w:rPr>
        <w:t>eATTEST</w:t>
      </w:r>
      <w:proofErr w:type="spellEnd"/>
      <w:r w:rsidRPr="000928E2">
        <w:rPr>
          <w:color w:val="0B769F" w:themeColor="accent4" w:themeShade="BF"/>
          <w:lang w:val="fr-FR"/>
        </w:rPr>
        <w:t xml:space="preserve"> est transmise postérieurement à la date de prestation, elle sera rejetée par l’OA.</w:t>
      </w:r>
    </w:p>
    <w:p w14:paraId="6E930F38" w14:textId="77777777" w:rsidR="000928E2" w:rsidRPr="000928E2" w:rsidRDefault="000928E2" w:rsidP="000928E2">
      <w:p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Cette règle découle de l’article 53, §1 de la loi coordonnée qui indique qu’une attestation de soins doit immédiatement après la prestation être remise par le dispensateur de soins à l’assuré. Cette règle est aussi une conséquence de l’obligation de remettre un document justificatif après la prestation comme reprise à l’article 53, §1/2 de la loi coordonnée.</w:t>
      </w:r>
    </w:p>
    <w:p w14:paraId="1ABBB8E7" w14:textId="77777777" w:rsidR="000928E2" w:rsidRPr="000928E2" w:rsidRDefault="000928E2" w:rsidP="000928E2">
      <w:pPr>
        <w:rPr>
          <w:lang w:val="fr-FR"/>
        </w:rPr>
      </w:pPr>
    </w:p>
    <w:p w14:paraId="2EB13C94" w14:textId="77777777" w:rsidR="000928E2" w:rsidRPr="000928E2" w:rsidRDefault="000928E2" w:rsidP="000928E2">
      <w:pPr>
        <w:rPr>
          <w:lang w:val="fr-FR"/>
        </w:rPr>
      </w:pPr>
      <w:r w:rsidRPr="000928E2">
        <w:rPr>
          <w:lang w:val="fr-FR"/>
        </w:rPr>
        <w:t>Que se passe-t-il si une facture ou une attestation électronique est initialement refusée par manque de données, puis corrigée et renvoyée :</w:t>
      </w:r>
    </w:p>
    <w:p w14:paraId="606DB841" w14:textId="77777777" w:rsidR="000928E2" w:rsidRPr="000928E2" w:rsidRDefault="000928E2" w:rsidP="000928E2">
      <w:pPr>
        <w:numPr>
          <w:ilvl w:val="0"/>
          <w:numId w:val="2"/>
        </w:num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 xml:space="preserve">le médecin sait directement si une </w:t>
      </w:r>
      <w:proofErr w:type="spellStart"/>
      <w:r w:rsidRPr="000928E2">
        <w:rPr>
          <w:color w:val="0B769F" w:themeColor="accent4" w:themeShade="BF"/>
          <w:lang w:val="fr-FR"/>
        </w:rPr>
        <w:t>eATTEST</w:t>
      </w:r>
      <w:proofErr w:type="spellEnd"/>
      <w:r w:rsidRPr="000928E2">
        <w:rPr>
          <w:color w:val="0B769F" w:themeColor="accent4" w:themeShade="BF"/>
          <w:lang w:val="fr-FR"/>
        </w:rPr>
        <w:t xml:space="preserve"> est rejetée (refusée) par l’OA et pour quelle raison. Il doit donc directement apporter les corrections, ré-envoyer une nouvelle </w:t>
      </w:r>
      <w:proofErr w:type="spellStart"/>
      <w:r w:rsidRPr="000928E2">
        <w:rPr>
          <w:color w:val="0B769F" w:themeColor="accent4" w:themeShade="BF"/>
          <w:lang w:val="fr-FR"/>
        </w:rPr>
        <w:t>eATTEST</w:t>
      </w:r>
      <w:proofErr w:type="spellEnd"/>
      <w:r w:rsidRPr="000928E2">
        <w:rPr>
          <w:color w:val="0B769F" w:themeColor="accent4" w:themeShade="BF"/>
          <w:lang w:val="fr-FR"/>
        </w:rPr>
        <w:t>, et remettre le document justificatif au patient.</w:t>
      </w:r>
    </w:p>
    <w:p w14:paraId="6C42822F" w14:textId="77777777" w:rsidR="000928E2" w:rsidRPr="000928E2" w:rsidRDefault="000928E2" w:rsidP="000928E2">
      <w:pPr>
        <w:numPr>
          <w:ilvl w:val="0"/>
          <w:numId w:val="3"/>
        </w:numPr>
        <w:rPr>
          <w:lang w:val="fr-FR"/>
        </w:rPr>
      </w:pPr>
      <w:r w:rsidRPr="000928E2">
        <w:rPr>
          <w:lang w:val="fr-FR"/>
        </w:rPr>
        <w:t>La date de prestation initiale ou la date de correction est-elle prise en compte comme date officielle de dépôt ?</w:t>
      </w:r>
    </w:p>
    <w:p w14:paraId="4E89267B" w14:textId="77777777" w:rsidR="000928E2" w:rsidRPr="000928E2" w:rsidRDefault="000928E2" w:rsidP="000928E2">
      <w:pPr>
        <w:numPr>
          <w:ilvl w:val="0"/>
          <w:numId w:val="2"/>
        </w:num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Il convient de distinguer facturation au comptant (</w:t>
      </w:r>
      <w:proofErr w:type="spellStart"/>
      <w:r w:rsidRPr="000928E2">
        <w:rPr>
          <w:color w:val="0B769F" w:themeColor="accent4" w:themeShade="BF"/>
          <w:lang w:val="fr-FR"/>
        </w:rPr>
        <w:t>eATTEST</w:t>
      </w:r>
      <w:proofErr w:type="spellEnd"/>
      <w:r w:rsidRPr="000928E2">
        <w:rPr>
          <w:color w:val="0B769F" w:themeColor="accent4" w:themeShade="BF"/>
          <w:lang w:val="fr-FR"/>
        </w:rPr>
        <w:t>) et facturation en tiers-payant (</w:t>
      </w:r>
      <w:proofErr w:type="spellStart"/>
      <w:r w:rsidRPr="000928E2">
        <w:rPr>
          <w:color w:val="0B769F" w:themeColor="accent4" w:themeShade="BF"/>
          <w:lang w:val="fr-FR"/>
        </w:rPr>
        <w:t>eFACT</w:t>
      </w:r>
      <w:proofErr w:type="spellEnd"/>
      <w:r w:rsidRPr="000928E2">
        <w:rPr>
          <w:color w:val="0B769F" w:themeColor="accent4" w:themeShade="BF"/>
          <w:lang w:val="fr-FR"/>
        </w:rPr>
        <w:t xml:space="preserve">). Pour </w:t>
      </w:r>
      <w:proofErr w:type="spellStart"/>
      <w:r w:rsidRPr="000928E2">
        <w:rPr>
          <w:color w:val="0B769F" w:themeColor="accent4" w:themeShade="BF"/>
          <w:lang w:val="fr-FR"/>
        </w:rPr>
        <w:t>eATTEST</w:t>
      </w:r>
      <w:proofErr w:type="spellEnd"/>
      <w:r w:rsidRPr="000928E2">
        <w:rPr>
          <w:color w:val="0B769F" w:themeColor="accent4" w:themeShade="BF"/>
          <w:lang w:val="fr-FR"/>
        </w:rPr>
        <w:t xml:space="preserve">,  date de prestation = date d’envoi. </w:t>
      </w:r>
    </w:p>
    <w:p w14:paraId="7E961B9D" w14:textId="77777777" w:rsidR="000928E2" w:rsidRDefault="000928E2" w:rsidP="000928E2">
      <w:p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Ex : si le médecin constate qu’il s’est trompé de code nomenclature, il devra le jour même annuler l’</w:t>
      </w:r>
      <w:proofErr w:type="spellStart"/>
      <w:r w:rsidRPr="000928E2">
        <w:rPr>
          <w:color w:val="0B769F" w:themeColor="accent4" w:themeShade="BF"/>
          <w:lang w:val="fr-FR"/>
        </w:rPr>
        <w:t>eATTEST</w:t>
      </w:r>
      <w:proofErr w:type="spellEnd"/>
      <w:r w:rsidRPr="000928E2">
        <w:rPr>
          <w:color w:val="0B769F" w:themeColor="accent4" w:themeShade="BF"/>
          <w:lang w:val="fr-FR"/>
        </w:rPr>
        <w:t xml:space="preserve"> et en créer une nouvelle reprenant le code de nomenclature souhaité.</w:t>
      </w:r>
    </w:p>
    <w:p w14:paraId="51BBAE2C" w14:textId="26A692B9" w:rsidR="00027F96" w:rsidRPr="000928E2" w:rsidRDefault="00027F96" w:rsidP="000928E2">
      <w:pPr>
        <w:rPr>
          <w:color w:val="0B769F" w:themeColor="accent4" w:themeShade="BF"/>
          <w:lang w:val="fr-FR"/>
        </w:rPr>
      </w:pPr>
      <w:r w:rsidRPr="00027F96">
        <w:rPr>
          <w:color w:val="0B769F" w:themeColor="accent4" w:themeShade="BF"/>
          <w:lang w:val="fr-FR"/>
        </w:rPr>
        <w:t xml:space="preserve">Pour </w:t>
      </w:r>
      <w:proofErr w:type="spellStart"/>
      <w:r w:rsidRPr="00027F96">
        <w:rPr>
          <w:color w:val="0B769F" w:themeColor="accent4" w:themeShade="BF"/>
          <w:lang w:val="fr-FR"/>
        </w:rPr>
        <w:t>eFact</w:t>
      </w:r>
      <w:proofErr w:type="spellEnd"/>
      <w:r w:rsidRPr="00027F96">
        <w:rPr>
          <w:color w:val="0B769F" w:themeColor="accent4" w:themeShade="BF"/>
          <w:lang w:val="fr-FR"/>
        </w:rPr>
        <w:t>, la date de prestation peut différer de la date d'envoi.</w:t>
      </w:r>
    </w:p>
    <w:p w14:paraId="5FAE5B8E" w14:textId="77777777" w:rsidR="000928E2" w:rsidRPr="000928E2" w:rsidRDefault="000928E2" w:rsidP="000928E2">
      <w:pPr>
        <w:numPr>
          <w:ilvl w:val="0"/>
          <w:numId w:val="3"/>
        </w:numPr>
        <w:rPr>
          <w:lang w:val="fr-FR"/>
        </w:rPr>
      </w:pPr>
      <w:r w:rsidRPr="000928E2">
        <w:rPr>
          <w:lang w:val="fr-FR"/>
        </w:rPr>
        <w:t>La correction peut-elle entraîner un refus pour cause de retard ?</w:t>
      </w:r>
    </w:p>
    <w:p w14:paraId="3EFB4ACD" w14:textId="77777777" w:rsidR="000928E2" w:rsidRPr="000928E2" w:rsidRDefault="000928E2" w:rsidP="000928E2">
      <w:pPr>
        <w:numPr>
          <w:ilvl w:val="0"/>
          <w:numId w:val="2"/>
        </w:num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 xml:space="preserve">Toute </w:t>
      </w:r>
      <w:proofErr w:type="spellStart"/>
      <w:r w:rsidRPr="000928E2">
        <w:rPr>
          <w:color w:val="0B769F" w:themeColor="accent4" w:themeShade="BF"/>
          <w:lang w:val="fr-FR"/>
        </w:rPr>
        <w:t>eATTEST</w:t>
      </w:r>
      <w:proofErr w:type="spellEnd"/>
      <w:r w:rsidRPr="000928E2">
        <w:rPr>
          <w:color w:val="0B769F" w:themeColor="accent4" w:themeShade="BF"/>
          <w:lang w:val="fr-FR"/>
        </w:rPr>
        <w:t xml:space="preserve"> comportant une date de prestation ne correspondant pas à la date du jour sera rejetée.</w:t>
      </w:r>
    </w:p>
    <w:p w14:paraId="497169BF" w14:textId="77777777" w:rsidR="000928E2" w:rsidRPr="000928E2" w:rsidRDefault="000928E2" w:rsidP="000928E2">
      <w:pPr>
        <w:rPr>
          <w:lang w:val="fr-FR"/>
        </w:rPr>
      </w:pPr>
    </w:p>
    <w:p w14:paraId="1EF2A4F9" w14:textId="77777777" w:rsidR="000928E2" w:rsidRPr="00942032" w:rsidRDefault="000928E2" w:rsidP="000928E2">
      <w:p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u w:val="single"/>
          <w:lang w:val="fr-FR"/>
        </w:rPr>
        <w:t>Information complémentaire</w:t>
      </w:r>
      <w:r w:rsidRPr="000928E2">
        <w:rPr>
          <w:color w:val="0B769F" w:themeColor="accent4" w:themeShade="BF"/>
          <w:lang w:val="fr-FR"/>
        </w:rPr>
        <w:t xml:space="preserve"> : </w:t>
      </w:r>
      <w:r w:rsidRPr="000928E2">
        <w:rPr>
          <w:color w:val="0B769F" w:themeColor="accent4" w:themeShade="BF"/>
          <w:lang w:val="fr-BE"/>
        </w:rPr>
        <w:t xml:space="preserve">Il n’existe pas de possibilité de correction d’une </w:t>
      </w:r>
      <w:proofErr w:type="spellStart"/>
      <w:r w:rsidRPr="000928E2">
        <w:rPr>
          <w:color w:val="0B769F" w:themeColor="accent4" w:themeShade="BF"/>
          <w:lang w:val="fr-BE"/>
        </w:rPr>
        <w:t>eATTEST</w:t>
      </w:r>
      <w:proofErr w:type="spellEnd"/>
      <w:r w:rsidRPr="000928E2">
        <w:rPr>
          <w:color w:val="0B769F" w:themeColor="accent4" w:themeShade="BF"/>
          <w:lang w:val="fr-BE"/>
        </w:rPr>
        <w:t xml:space="preserve"> une fois celle-ci réceptionnée et acceptée par l’OA – seule une ANNULATION d’une </w:t>
      </w:r>
      <w:proofErr w:type="spellStart"/>
      <w:r w:rsidRPr="000928E2">
        <w:rPr>
          <w:color w:val="0B769F" w:themeColor="accent4" w:themeShade="BF"/>
          <w:lang w:val="fr-BE"/>
        </w:rPr>
        <w:t>eATTEST</w:t>
      </w:r>
      <w:proofErr w:type="spellEnd"/>
      <w:r w:rsidRPr="000928E2">
        <w:rPr>
          <w:color w:val="0B769F" w:themeColor="accent4" w:themeShade="BF"/>
          <w:lang w:val="fr-BE"/>
        </w:rPr>
        <w:t xml:space="preserve"> est possible et une nouvelle </w:t>
      </w:r>
      <w:proofErr w:type="spellStart"/>
      <w:r w:rsidRPr="000928E2">
        <w:rPr>
          <w:color w:val="0B769F" w:themeColor="accent4" w:themeShade="BF"/>
          <w:lang w:val="fr-BE"/>
        </w:rPr>
        <w:t>eATTEST</w:t>
      </w:r>
      <w:proofErr w:type="spellEnd"/>
      <w:r w:rsidRPr="000928E2">
        <w:rPr>
          <w:color w:val="0B769F" w:themeColor="accent4" w:themeShade="BF"/>
          <w:lang w:val="fr-BE"/>
        </w:rPr>
        <w:t xml:space="preserve"> devra être (en principe) envoyée. Cela doit toujours être fait le jour même de la consultation si une nouvelle </w:t>
      </w:r>
      <w:proofErr w:type="spellStart"/>
      <w:r w:rsidRPr="000928E2">
        <w:rPr>
          <w:color w:val="0B769F" w:themeColor="accent4" w:themeShade="BF"/>
          <w:lang w:val="fr-BE"/>
        </w:rPr>
        <w:t>eATTEST</w:t>
      </w:r>
      <w:proofErr w:type="spellEnd"/>
      <w:r w:rsidRPr="000928E2">
        <w:rPr>
          <w:color w:val="0B769F" w:themeColor="accent4" w:themeShade="BF"/>
          <w:lang w:val="fr-BE"/>
        </w:rPr>
        <w:t xml:space="preserve"> doit-être ré-envoyée. Si une </w:t>
      </w:r>
      <w:proofErr w:type="spellStart"/>
      <w:r w:rsidRPr="000928E2">
        <w:rPr>
          <w:color w:val="0B769F" w:themeColor="accent4" w:themeShade="BF"/>
          <w:lang w:val="fr-BE"/>
        </w:rPr>
        <w:t>eATTEST</w:t>
      </w:r>
      <w:proofErr w:type="spellEnd"/>
      <w:r w:rsidRPr="000928E2">
        <w:rPr>
          <w:color w:val="0B769F" w:themeColor="accent4" w:themeShade="BF"/>
          <w:lang w:val="fr-BE"/>
        </w:rPr>
        <w:t xml:space="preserve"> est ré-envoyée à une autre date que celle de la consultation, elle sera rejetée par l’OA. </w:t>
      </w:r>
      <w:r w:rsidRPr="000928E2">
        <w:rPr>
          <w:color w:val="0B769F" w:themeColor="accent4" w:themeShade="BF"/>
          <w:lang w:val="fr-FR"/>
        </w:rPr>
        <w:t>(</w:t>
      </w:r>
      <w:hyperlink r:id="rId8" w:history="1">
        <w:r w:rsidRPr="000928E2">
          <w:rPr>
            <w:rStyle w:val="Hyperlink"/>
            <w:color w:val="0B769F" w:themeColor="accent4" w:themeShade="BF"/>
            <w:lang w:val="fr-FR"/>
          </w:rPr>
          <w:t>https://fra.mycarenet.be/faq</w:t>
        </w:r>
      </w:hyperlink>
      <w:r w:rsidRPr="000928E2">
        <w:rPr>
          <w:color w:val="0B769F" w:themeColor="accent4" w:themeShade="BF"/>
          <w:lang w:val="fr-FR"/>
        </w:rPr>
        <w:t xml:space="preserve"> “Guidelines - </w:t>
      </w:r>
      <w:proofErr w:type="spellStart"/>
      <w:r w:rsidRPr="000928E2">
        <w:rPr>
          <w:color w:val="0B769F" w:themeColor="accent4" w:themeShade="BF"/>
          <w:lang w:val="fr-FR"/>
        </w:rPr>
        <w:t>eAttest</w:t>
      </w:r>
      <w:proofErr w:type="spellEnd"/>
      <w:r w:rsidRPr="000928E2">
        <w:rPr>
          <w:color w:val="0B769F" w:themeColor="accent4" w:themeShade="BF"/>
          <w:lang w:val="fr-FR"/>
        </w:rPr>
        <w:t xml:space="preserve"> Annulation” =&gt; ce document vaut tant pour les médecins généralistes que pour les spécialistes)</w:t>
      </w:r>
    </w:p>
    <w:p w14:paraId="3DFC7450" w14:textId="77777777" w:rsidR="000928E2" w:rsidRDefault="000928E2" w:rsidP="000928E2">
      <w:pPr>
        <w:rPr>
          <w:lang w:val="fr-FR"/>
        </w:rPr>
      </w:pPr>
    </w:p>
    <w:p w14:paraId="4B87CD03" w14:textId="77777777" w:rsidR="00942032" w:rsidRDefault="00942032" w:rsidP="000928E2">
      <w:pPr>
        <w:rPr>
          <w:lang w:val="fr-FR"/>
        </w:rPr>
      </w:pPr>
    </w:p>
    <w:p w14:paraId="6CD87B06" w14:textId="77777777" w:rsidR="00942032" w:rsidRDefault="00942032" w:rsidP="000928E2">
      <w:pPr>
        <w:rPr>
          <w:lang w:val="fr-FR"/>
        </w:rPr>
      </w:pPr>
    </w:p>
    <w:p w14:paraId="3513CDA7" w14:textId="77777777" w:rsidR="000928E2" w:rsidRPr="000928E2" w:rsidRDefault="000928E2" w:rsidP="000928E2">
      <w:pPr>
        <w:numPr>
          <w:ilvl w:val="0"/>
          <w:numId w:val="1"/>
        </w:numPr>
        <w:rPr>
          <w:lang w:val="fr-FR"/>
        </w:rPr>
      </w:pPr>
      <w:r w:rsidRPr="000928E2">
        <w:rPr>
          <w:lang w:val="fr-FR"/>
        </w:rPr>
        <w:lastRenderedPageBreak/>
        <w:t xml:space="preserve">Est-il possible, pour </w:t>
      </w:r>
      <w:r w:rsidRPr="000928E2">
        <w:rPr>
          <w:b/>
          <w:bCs/>
          <w:lang w:val="fr-FR"/>
        </w:rPr>
        <w:t>e-Fact</w:t>
      </w:r>
      <w:r w:rsidRPr="000928E2">
        <w:rPr>
          <w:lang w:val="fr-FR"/>
        </w:rPr>
        <w:t>, d’effectuer la facturation à une date ultérieure à celle de la prestation ?</w:t>
      </w:r>
    </w:p>
    <w:p w14:paraId="53C54EDE" w14:textId="77777777" w:rsidR="000928E2" w:rsidRPr="000928E2" w:rsidRDefault="000928E2" w:rsidP="000928E2">
      <w:pPr>
        <w:numPr>
          <w:ilvl w:val="0"/>
          <w:numId w:val="4"/>
        </w:num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Oui, la FAQ « </w:t>
      </w:r>
      <w:proofErr w:type="spellStart"/>
      <w:r w:rsidRPr="000928E2">
        <w:rPr>
          <w:color w:val="0B769F" w:themeColor="accent4" w:themeShade="BF"/>
          <w:lang w:val="fr-FR"/>
        </w:rPr>
        <w:t>eFact</w:t>
      </w:r>
      <w:proofErr w:type="spellEnd"/>
      <w:r w:rsidRPr="000928E2">
        <w:rPr>
          <w:color w:val="0B769F" w:themeColor="accent4" w:themeShade="BF"/>
          <w:lang w:val="fr-FR"/>
        </w:rPr>
        <w:t xml:space="preserve">-médecins » de </w:t>
      </w:r>
      <w:proofErr w:type="spellStart"/>
      <w:r w:rsidRPr="000928E2">
        <w:rPr>
          <w:color w:val="0B769F" w:themeColor="accent4" w:themeShade="BF"/>
          <w:lang w:val="fr-FR"/>
        </w:rPr>
        <w:t>MyCarenet</w:t>
      </w:r>
      <w:proofErr w:type="spellEnd"/>
      <w:r w:rsidRPr="000928E2">
        <w:rPr>
          <w:color w:val="0B769F" w:themeColor="accent4" w:themeShade="BF"/>
          <w:lang w:val="fr-FR"/>
        </w:rPr>
        <w:t xml:space="preserve"> mentionne ceci : « Vous pouvez envoyer un ou plusieurs fichiers de facturation par mois. La limite est fixée à un fichier de facturation par jour (et par OA) maximum. Chaque facture génère un ou plusieurs fichiers de réponses à gérer par le médecin. »</w:t>
      </w:r>
    </w:p>
    <w:p w14:paraId="536F7443" w14:textId="77777777" w:rsidR="000928E2" w:rsidRPr="000928E2" w:rsidRDefault="000928E2" w:rsidP="000928E2">
      <w:pPr>
        <w:rPr>
          <w:lang w:val="fr-FR"/>
        </w:rPr>
      </w:pPr>
      <w:hyperlink r:id="rId9" w:history="1">
        <w:r w:rsidRPr="000928E2">
          <w:rPr>
            <w:rStyle w:val="Hyperlink"/>
            <w:lang w:val="fr-FR"/>
          </w:rPr>
          <w:t>https://fra.mycarenet.be/faq</w:t>
        </w:r>
      </w:hyperlink>
    </w:p>
    <w:p w14:paraId="75CC1178" w14:textId="77777777" w:rsidR="000928E2" w:rsidRPr="000928E2" w:rsidRDefault="000928E2" w:rsidP="000928E2">
      <w:pPr>
        <w:rPr>
          <w:lang w:val="fr-FR"/>
        </w:rPr>
      </w:pPr>
    </w:p>
    <w:p w14:paraId="30C70E59" w14:textId="77777777" w:rsidR="000928E2" w:rsidRPr="000928E2" w:rsidRDefault="000928E2" w:rsidP="000928E2">
      <w:pPr>
        <w:rPr>
          <w:lang w:val="fr-FR"/>
        </w:rPr>
      </w:pPr>
    </w:p>
    <w:p w14:paraId="5F7E3995" w14:textId="77777777" w:rsidR="000928E2" w:rsidRPr="000928E2" w:rsidRDefault="000928E2" w:rsidP="000928E2">
      <w:pPr>
        <w:numPr>
          <w:ilvl w:val="0"/>
          <w:numId w:val="1"/>
        </w:numPr>
        <w:rPr>
          <w:lang w:val="fr-FR"/>
        </w:rPr>
      </w:pPr>
      <w:r w:rsidRPr="000928E2">
        <w:rPr>
          <w:lang w:val="fr-FR"/>
        </w:rPr>
        <w:t xml:space="preserve">Le délai de deux mois prévu par l’AR de 1995 s’applique-t-il toujours pour </w:t>
      </w:r>
      <w:proofErr w:type="spellStart"/>
      <w:r w:rsidRPr="000928E2">
        <w:rPr>
          <w:lang w:val="fr-FR"/>
        </w:rPr>
        <w:t>eFact</w:t>
      </w:r>
      <w:proofErr w:type="spellEnd"/>
      <w:r w:rsidRPr="000928E2">
        <w:rPr>
          <w:lang w:val="fr-FR"/>
        </w:rPr>
        <w:t xml:space="preserve"> (et </w:t>
      </w:r>
      <w:proofErr w:type="spellStart"/>
      <w:r w:rsidRPr="000928E2">
        <w:rPr>
          <w:lang w:val="fr-FR"/>
        </w:rPr>
        <w:t>eAttest</w:t>
      </w:r>
      <w:proofErr w:type="spellEnd"/>
      <w:r w:rsidRPr="000928E2">
        <w:rPr>
          <w:lang w:val="fr-FR"/>
        </w:rPr>
        <w:t>) ?Ou bien le délai de prescription de deux ans de l’article 174 de la loi AMI s’applique-t-il à la facturation électronique ?</w:t>
      </w:r>
    </w:p>
    <w:p w14:paraId="0873ED63" w14:textId="77777777" w:rsidR="000928E2" w:rsidRPr="000928E2" w:rsidRDefault="000928E2" w:rsidP="000928E2">
      <w:pPr>
        <w:numPr>
          <w:ilvl w:val="0"/>
          <w:numId w:val="5"/>
        </w:numPr>
        <w:rPr>
          <w:b/>
          <w:bCs/>
          <w:color w:val="0B769F" w:themeColor="accent4" w:themeShade="BF"/>
          <w:lang w:val="fr-FR"/>
        </w:rPr>
      </w:pPr>
      <w:proofErr w:type="spellStart"/>
      <w:r w:rsidRPr="000928E2">
        <w:rPr>
          <w:b/>
          <w:bCs/>
          <w:color w:val="0B769F" w:themeColor="accent4" w:themeShade="BF"/>
          <w:lang w:val="fr-FR"/>
        </w:rPr>
        <w:t>eAttest</w:t>
      </w:r>
      <w:proofErr w:type="spellEnd"/>
      <w:r w:rsidRPr="000928E2">
        <w:rPr>
          <w:b/>
          <w:bCs/>
          <w:color w:val="0B769F" w:themeColor="accent4" w:themeShade="BF"/>
          <w:lang w:val="fr-FR"/>
        </w:rPr>
        <w:t> :</w:t>
      </w:r>
    </w:p>
    <w:p w14:paraId="6266A3CA" w14:textId="77777777" w:rsidR="000928E2" w:rsidRPr="000928E2" w:rsidRDefault="000928E2" w:rsidP="000928E2">
      <w:p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 xml:space="preserve">L’AR de 1995 et le délai de prescription de l’article 174 de la loi AMI s’appliquent à </w:t>
      </w:r>
      <w:proofErr w:type="spellStart"/>
      <w:r w:rsidRPr="000928E2">
        <w:rPr>
          <w:color w:val="0B769F" w:themeColor="accent4" w:themeShade="BF"/>
          <w:lang w:val="fr-FR"/>
        </w:rPr>
        <w:t>eAttest</w:t>
      </w:r>
      <w:proofErr w:type="spellEnd"/>
      <w:r w:rsidRPr="000928E2">
        <w:rPr>
          <w:color w:val="0B769F" w:themeColor="accent4" w:themeShade="BF"/>
          <w:lang w:val="fr-FR"/>
        </w:rPr>
        <w:t xml:space="preserve"> mais sans conséquences pratiques vu le caractère synchrone du service </w:t>
      </w:r>
      <w:proofErr w:type="spellStart"/>
      <w:r w:rsidRPr="000928E2">
        <w:rPr>
          <w:color w:val="0B769F" w:themeColor="accent4" w:themeShade="BF"/>
          <w:lang w:val="fr-FR"/>
        </w:rPr>
        <w:t>eAttest</w:t>
      </w:r>
      <w:proofErr w:type="spellEnd"/>
      <w:r w:rsidRPr="000928E2">
        <w:rPr>
          <w:color w:val="0B769F" w:themeColor="accent4" w:themeShade="BF"/>
          <w:lang w:val="fr-FR"/>
        </w:rPr>
        <w:t xml:space="preserve">. </w:t>
      </w:r>
    </w:p>
    <w:p w14:paraId="16A65866" w14:textId="77777777" w:rsidR="000928E2" w:rsidRPr="000928E2" w:rsidRDefault="000928E2" w:rsidP="000928E2">
      <w:pPr>
        <w:rPr>
          <w:lang w:val="fr-FR"/>
        </w:rPr>
      </w:pPr>
    </w:p>
    <w:p w14:paraId="0699F6A2" w14:textId="77777777" w:rsidR="000928E2" w:rsidRPr="000928E2" w:rsidRDefault="000928E2" w:rsidP="000928E2">
      <w:pPr>
        <w:numPr>
          <w:ilvl w:val="0"/>
          <w:numId w:val="5"/>
        </w:numPr>
        <w:rPr>
          <w:b/>
          <w:bCs/>
          <w:color w:val="0B769F" w:themeColor="accent4" w:themeShade="BF"/>
          <w:lang w:val="fr-FR"/>
        </w:rPr>
      </w:pPr>
      <w:proofErr w:type="spellStart"/>
      <w:r w:rsidRPr="000928E2">
        <w:rPr>
          <w:b/>
          <w:bCs/>
          <w:color w:val="0B769F" w:themeColor="accent4" w:themeShade="BF"/>
          <w:lang w:val="fr-FR"/>
        </w:rPr>
        <w:t>eFact</w:t>
      </w:r>
      <w:proofErr w:type="spellEnd"/>
      <w:r w:rsidRPr="000928E2">
        <w:rPr>
          <w:b/>
          <w:bCs/>
          <w:color w:val="0B769F" w:themeColor="accent4" w:themeShade="BF"/>
          <w:lang w:val="fr-FR"/>
        </w:rPr>
        <w:t> :</w:t>
      </w:r>
    </w:p>
    <w:p w14:paraId="5B975375" w14:textId="77777777" w:rsidR="000928E2" w:rsidRPr="000928E2" w:rsidRDefault="000928E2" w:rsidP="000928E2">
      <w:pPr>
        <w:rPr>
          <w:b/>
          <w:bCs/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L’</w:t>
      </w:r>
      <w:proofErr w:type="spellStart"/>
      <w:r w:rsidRPr="000928E2">
        <w:rPr>
          <w:color w:val="0B769F" w:themeColor="accent4" w:themeShade="BF"/>
          <w:lang w:val="fr-FR"/>
        </w:rPr>
        <w:t>eFact</w:t>
      </w:r>
      <w:proofErr w:type="spellEnd"/>
      <w:r w:rsidRPr="000928E2">
        <w:rPr>
          <w:color w:val="0B769F" w:themeColor="accent4" w:themeShade="BF"/>
          <w:lang w:val="fr-FR"/>
        </w:rPr>
        <w:t xml:space="preserve"> doit être envoyé dans un délai de 2 mois (délai de l’AR du 19/05/1995) , dans le cas contraire, le prestataire peut se voir infliger une amende administrative par le SCA.</w:t>
      </w:r>
    </w:p>
    <w:p w14:paraId="57698898" w14:textId="77777777" w:rsidR="000928E2" w:rsidRPr="000928E2" w:rsidRDefault="000928E2" w:rsidP="000928E2">
      <w:p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Il existe un délai de prescription qui est de 2 ans : l’</w:t>
      </w:r>
      <w:proofErr w:type="spellStart"/>
      <w:r w:rsidRPr="000928E2">
        <w:rPr>
          <w:color w:val="0B769F" w:themeColor="accent4" w:themeShade="BF"/>
          <w:lang w:val="fr-FR"/>
        </w:rPr>
        <w:t>eFact</w:t>
      </w:r>
      <w:proofErr w:type="spellEnd"/>
      <w:r w:rsidRPr="000928E2">
        <w:rPr>
          <w:color w:val="0B769F" w:themeColor="accent4" w:themeShade="BF"/>
          <w:lang w:val="fr-FR"/>
        </w:rPr>
        <w:t xml:space="preserve"> sera payé par l’OA si le délai de prescription de 2 ans n’est pas atteint. </w:t>
      </w:r>
    </w:p>
    <w:p w14:paraId="06AA07F0" w14:textId="77777777" w:rsidR="000928E2" w:rsidRPr="000928E2" w:rsidRDefault="000928E2" w:rsidP="000928E2">
      <w:pPr>
        <w:rPr>
          <w:lang w:val="fr-FR"/>
        </w:rPr>
      </w:pPr>
    </w:p>
    <w:p w14:paraId="43FF3810" w14:textId="77777777" w:rsidR="000928E2" w:rsidRPr="000928E2" w:rsidRDefault="000928E2" w:rsidP="000928E2">
      <w:pPr>
        <w:rPr>
          <w:b/>
          <w:bCs/>
          <w:i/>
          <w:iCs/>
          <w:color w:val="0B769F" w:themeColor="accent4" w:themeShade="BF"/>
          <w:lang w:val="fr-FR"/>
        </w:rPr>
      </w:pPr>
      <w:r w:rsidRPr="000928E2">
        <w:rPr>
          <w:b/>
          <w:bCs/>
          <w:i/>
          <w:iCs/>
          <w:color w:val="0B769F" w:themeColor="accent4" w:themeShade="BF"/>
          <w:lang w:val="fr-FR"/>
        </w:rPr>
        <w:t>19 MAI 1995. Arrêté royal portant exécution des articles 53 et 168 de la loi relative à l'assurance obligatoire soins de santé et indemnités, coordonnée le 14 juillet 1994</w:t>
      </w:r>
    </w:p>
    <w:p w14:paraId="3116884B" w14:textId="77777777" w:rsidR="000928E2" w:rsidRPr="000928E2" w:rsidRDefault="000928E2" w:rsidP="000928E2">
      <w:pPr>
        <w:rPr>
          <w:i/>
          <w:iCs/>
          <w:color w:val="0B769F" w:themeColor="accent4" w:themeShade="BF"/>
          <w:lang w:val="fr-FR"/>
        </w:rPr>
      </w:pPr>
      <w:r w:rsidRPr="000928E2">
        <w:rPr>
          <w:i/>
          <w:iCs/>
          <w:color w:val="0B769F" w:themeColor="accent4" w:themeShade="BF"/>
          <w:lang w:val="fr-FR"/>
        </w:rPr>
        <w:t xml:space="preserve">Article 1er. L'attestation de soins ou de fournitures ou le document qui en tient lieu doit être remis par le dispensateur de soins au bénéficiaire ou à l'organisme assureur au plus tard dans un délai de </w:t>
      </w:r>
      <w:r w:rsidRPr="000928E2">
        <w:rPr>
          <w:i/>
          <w:iCs/>
          <w:color w:val="0B769F" w:themeColor="accent4" w:themeShade="BF"/>
          <w:u w:val="single"/>
          <w:lang w:val="fr-FR"/>
        </w:rPr>
        <w:t>deux mois</w:t>
      </w:r>
      <w:r w:rsidRPr="000928E2">
        <w:rPr>
          <w:i/>
          <w:iCs/>
          <w:color w:val="0B769F" w:themeColor="accent4" w:themeShade="BF"/>
          <w:lang w:val="fr-FR"/>
        </w:rPr>
        <w:t xml:space="preserve"> suivant la fin du mois au cours duquel les prestations ont été fournies. </w:t>
      </w:r>
    </w:p>
    <w:p w14:paraId="48776DDA" w14:textId="77777777" w:rsidR="000928E2" w:rsidRPr="000928E2" w:rsidRDefault="000928E2" w:rsidP="000928E2">
      <w:pPr>
        <w:rPr>
          <w:i/>
          <w:iCs/>
          <w:color w:val="0B769F" w:themeColor="accent4" w:themeShade="BF"/>
          <w:lang w:val="fr-FR"/>
        </w:rPr>
      </w:pPr>
      <w:r w:rsidRPr="000928E2">
        <w:rPr>
          <w:i/>
          <w:iCs/>
          <w:color w:val="0B769F" w:themeColor="accent4" w:themeShade="BF"/>
          <w:lang w:val="fr-FR"/>
        </w:rPr>
        <w:t>Toutefois, lorsque la facturation trimestrielle est admise en vertu des dispositions réglementaires, le délai prévu à l'alinéa Ier prend cours à la fin du trimestre auquel se rapporte la facture.</w:t>
      </w:r>
    </w:p>
    <w:p w14:paraId="28BE1E69" w14:textId="77777777" w:rsidR="000928E2" w:rsidRPr="000928E2" w:rsidRDefault="000928E2" w:rsidP="000928E2">
      <w:pPr>
        <w:rPr>
          <w:lang w:val="fr-FR"/>
        </w:rPr>
      </w:pPr>
      <w:hyperlink r:id="rId10" w:history="1">
        <w:r w:rsidRPr="000928E2">
          <w:rPr>
            <w:rStyle w:val="Hyperlink"/>
            <w:lang w:val="fr-FR"/>
          </w:rPr>
          <w:t>https://www.ejustice.just.fgov.be/eli/arrete/1995/05/19/1995022284/moniteur</w:t>
        </w:r>
      </w:hyperlink>
    </w:p>
    <w:p w14:paraId="3DE529CB" w14:textId="77777777" w:rsidR="000928E2" w:rsidRDefault="000928E2" w:rsidP="000928E2">
      <w:pPr>
        <w:rPr>
          <w:lang w:val="fr-FR"/>
        </w:rPr>
      </w:pPr>
    </w:p>
    <w:p w14:paraId="498AE357" w14:textId="77777777" w:rsidR="000928E2" w:rsidRPr="00942032" w:rsidRDefault="000928E2" w:rsidP="000928E2">
      <w:pPr>
        <w:rPr>
          <w:b/>
          <w:bCs/>
          <w:i/>
          <w:iCs/>
          <w:color w:val="0B769F" w:themeColor="accent4" w:themeShade="BF"/>
          <w:lang w:val="fr-FR"/>
        </w:rPr>
      </w:pPr>
    </w:p>
    <w:p w14:paraId="08F82F1F" w14:textId="77777777" w:rsidR="000928E2" w:rsidRPr="00027F96" w:rsidRDefault="000928E2" w:rsidP="000928E2">
      <w:pPr>
        <w:rPr>
          <w:b/>
          <w:bCs/>
          <w:i/>
          <w:iCs/>
          <w:color w:val="0B769F" w:themeColor="accent4" w:themeShade="BF"/>
          <w:lang w:val="fr-FR"/>
        </w:rPr>
      </w:pPr>
      <w:hyperlink r:id="rId11" w:history="1">
        <w:r w:rsidRPr="00027F96">
          <w:rPr>
            <w:rFonts w:eastAsiaTheme="majorEastAsia"/>
            <w:b/>
            <w:bCs/>
            <w:i/>
            <w:iCs/>
            <w:color w:val="0B769F" w:themeColor="accent4" w:themeShade="BF"/>
            <w:lang w:val="fr-FR"/>
          </w:rPr>
          <w:t xml:space="preserve">Loi relative à l'assurance obligatoire soins de santé et indemnités coordonnée le 14 juillet 1994. </w:t>
        </w:r>
      </w:hyperlink>
    </w:p>
    <w:p w14:paraId="34346DE9" w14:textId="77777777" w:rsidR="000928E2" w:rsidRPr="000928E2" w:rsidRDefault="000928E2" w:rsidP="000928E2">
      <w:pPr>
        <w:rPr>
          <w:i/>
          <w:iCs/>
          <w:color w:val="0B769F" w:themeColor="accent4" w:themeShade="BF"/>
          <w:lang w:val="fr-FR"/>
        </w:rPr>
      </w:pPr>
      <w:r w:rsidRPr="000928E2">
        <w:rPr>
          <w:i/>
          <w:iCs/>
          <w:color w:val="0B769F" w:themeColor="accent4" w:themeShade="BF"/>
          <w:lang w:val="fr-FR"/>
        </w:rPr>
        <w:t>CHAPITRE V.- DE LA PRESCRIPTION</w:t>
      </w:r>
    </w:p>
    <w:tbl>
      <w:tblPr>
        <w:tblW w:w="1863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0"/>
      </w:tblGrid>
      <w:tr w:rsidR="00942032" w:rsidRPr="000928E2" w14:paraId="1784AC1A" w14:textId="77777777" w:rsidTr="000928E2">
        <w:trPr>
          <w:tblCellSpacing w:w="15" w:type="dxa"/>
        </w:trPr>
        <w:tc>
          <w:tcPr>
            <w:tcW w:w="0" w:type="auto"/>
            <w:hideMark/>
          </w:tcPr>
          <w:p w14:paraId="5A695F95" w14:textId="77777777" w:rsidR="000928E2" w:rsidRPr="000928E2" w:rsidRDefault="000928E2" w:rsidP="000928E2">
            <w:pPr>
              <w:rPr>
                <w:i/>
                <w:iCs/>
                <w:color w:val="0B769F" w:themeColor="accent4" w:themeShade="BF"/>
                <w:lang w:val="en-GB"/>
              </w:rPr>
            </w:pPr>
            <w:r w:rsidRPr="000928E2">
              <w:rPr>
                <w:i/>
                <w:iCs/>
                <w:color w:val="0B769F" w:themeColor="accent4" w:themeShade="BF"/>
                <w:lang w:val="en-GB"/>
              </w:rPr>
              <w:t>Art. 174.</w:t>
            </w:r>
          </w:p>
        </w:tc>
      </w:tr>
      <w:tr w:rsidR="00942032" w:rsidRPr="00522CDD" w14:paraId="1C0E1344" w14:textId="77777777" w:rsidTr="000928E2">
        <w:trPr>
          <w:tblCellSpacing w:w="15" w:type="dxa"/>
        </w:trPr>
        <w:tc>
          <w:tcPr>
            <w:tcW w:w="0" w:type="auto"/>
            <w:hideMark/>
          </w:tcPr>
          <w:p w14:paraId="57CB142C" w14:textId="77777777" w:rsidR="000928E2" w:rsidRPr="000928E2" w:rsidRDefault="000928E2" w:rsidP="000928E2">
            <w:pPr>
              <w:rPr>
                <w:i/>
                <w:iCs/>
                <w:color w:val="0B769F" w:themeColor="accent4" w:themeShade="BF"/>
                <w:lang w:val="fr-FR"/>
              </w:rPr>
            </w:pPr>
            <w:r w:rsidRPr="000928E2">
              <w:rPr>
                <w:i/>
                <w:iCs/>
                <w:color w:val="0B769F" w:themeColor="accent4" w:themeShade="BF"/>
                <w:lang w:val="fr-FR"/>
              </w:rPr>
              <w:t>(…)</w:t>
            </w:r>
          </w:p>
          <w:p w14:paraId="24D1B4B4" w14:textId="77777777" w:rsidR="000928E2" w:rsidRPr="000928E2" w:rsidRDefault="000928E2" w:rsidP="000928E2">
            <w:pPr>
              <w:rPr>
                <w:i/>
                <w:iCs/>
                <w:color w:val="0B769F" w:themeColor="accent4" w:themeShade="BF"/>
                <w:lang w:val="fr-FR"/>
              </w:rPr>
            </w:pPr>
            <w:r w:rsidRPr="000928E2">
              <w:rPr>
                <w:i/>
                <w:iCs/>
                <w:color w:val="0B769F" w:themeColor="accent4" w:themeShade="BF"/>
                <w:lang w:val="fr-FR"/>
              </w:rPr>
              <w:t>3° L'action relative au paiement des prestations de santé se prescrit par deux ans à compter de la fin du mois au cours duquel les soins ont été fournis, que ces prestations aient été payées ou non selon le régime du tiers payant;</w:t>
            </w:r>
          </w:p>
        </w:tc>
      </w:tr>
    </w:tbl>
    <w:p w14:paraId="6305E22E" w14:textId="77777777" w:rsidR="000928E2" w:rsidRPr="000928E2" w:rsidRDefault="000928E2" w:rsidP="000928E2">
      <w:pPr>
        <w:rPr>
          <w:lang w:val="fr-FR"/>
        </w:rPr>
      </w:pPr>
    </w:p>
    <w:p w14:paraId="73C2EDAD" w14:textId="77777777" w:rsidR="000928E2" w:rsidRPr="000928E2" w:rsidRDefault="000928E2" w:rsidP="000928E2">
      <w:pPr>
        <w:rPr>
          <w:lang w:val="fr-FR"/>
        </w:rPr>
      </w:pPr>
    </w:p>
    <w:p w14:paraId="1825066D" w14:textId="77777777" w:rsidR="000928E2" w:rsidRPr="000928E2" w:rsidRDefault="000928E2" w:rsidP="000928E2">
      <w:pPr>
        <w:numPr>
          <w:ilvl w:val="0"/>
          <w:numId w:val="1"/>
        </w:numPr>
        <w:rPr>
          <w:lang w:val="fr-FR"/>
        </w:rPr>
      </w:pPr>
      <w:r w:rsidRPr="000928E2">
        <w:rPr>
          <w:lang w:val="fr-FR"/>
        </w:rPr>
        <w:t xml:space="preserve">Si </w:t>
      </w:r>
      <w:proofErr w:type="spellStart"/>
      <w:r w:rsidRPr="000928E2">
        <w:rPr>
          <w:lang w:val="fr-FR"/>
        </w:rPr>
        <w:t>eAttest</w:t>
      </w:r>
      <w:proofErr w:type="spellEnd"/>
      <w:r w:rsidRPr="000928E2">
        <w:rPr>
          <w:lang w:val="fr-FR"/>
        </w:rPr>
        <w:t xml:space="preserve"> devient obligatoire à partir du 1er septembre 2025 :</w:t>
      </w:r>
    </w:p>
    <w:p w14:paraId="5F7451BF" w14:textId="77777777" w:rsidR="000928E2" w:rsidRPr="000928E2" w:rsidRDefault="000928E2" w:rsidP="000928E2">
      <w:pPr>
        <w:numPr>
          <w:ilvl w:val="0"/>
          <w:numId w:val="6"/>
        </w:numPr>
        <w:rPr>
          <w:lang w:val="fr-FR"/>
        </w:rPr>
      </w:pPr>
      <w:r w:rsidRPr="000928E2">
        <w:rPr>
          <w:lang w:val="fr-FR"/>
        </w:rPr>
        <w:t>Les attestations papier sont-elles immédiatement invalidées pour les prestations après cette date ?</w:t>
      </w:r>
    </w:p>
    <w:p w14:paraId="0C70F78A" w14:textId="77777777" w:rsidR="000928E2" w:rsidRPr="000928E2" w:rsidRDefault="000928E2" w:rsidP="000928E2">
      <w:pPr>
        <w:numPr>
          <w:ilvl w:val="0"/>
          <w:numId w:val="4"/>
        </w:num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A partir du 01 septembre 2025, les ASD papier continueront d’être acceptées par les OA dans les 3 cas d’exception suivants :</w:t>
      </w:r>
    </w:p>
    <w:p w14:paraId="64D512DE" w14:textId="77777777" w:rsidR="000928E2" w:rsidRPr="000928E2" w:rsidRDefault="000928E2" w:rsidP="000928E2">
      <w:pPr>
        <w:numPr>
          <w:ilvl w:val="0"/>
          <w:numId w:val="7"/>
        </w:num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Si le médecin a atteint l'âge de 67 ans au 1er janvier 2023.</w:t>
      </w:r>
    </w:p>
    <w:p w14:paraId="5D41AF28" w14:textId="77777777" w:rsidR="000928E2" w:rsidRPr="000928E2" w:rsidRDefault="000928E2" w:rsidP="000928E2">
      <w:pPr>
        <w:numPr>
          <w:ilvl w:val="0"/>
          <w:numId w:val="8"/>
        </w:num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Lorsque la facturation a lieu en dehors du cabinet </w:t>
      </w:r>
      <w:r w:rsidRPr="000928E2">
        <w:rPr>
          <w:b/>
          <w:bCs/>
          <w:color w:val="0B769F" w:themeColor="accent4" w:themeShade="BF"/>
          <w:lang w:val="fr-FR"/>
        </w:rPr>
        <w:t>et</w:t>
      </w:r>
      <w:r w:rsidRPr="000928E2">
        <w:rPr>
          <w:color w:val="0B769F" w:themeColor="accent4" w:themeShade="BF"/>
          <w:lang w:val="fr-FR"/>
        </w:rPr>
        <w:t> qu’une facturation électronique est techniquement impossible.</w:t>
      </w:r>
    </w:p>
    <w:p w14:paraId="3BE96993" w14:textId="77777777" w:rsidR="000928E2" w:rsidRPr="000928E2" w:rsidRDefault="000928E2" w:rsidP="000928E2">
      <w:pPr>
        <w:numPr>
          <w:ilvl w:val="0"/>
          <w:numId w:val="8"/>
        </w:num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En cas de force majeure rendant impossible la facturation électronique.</w:t>
      </w:r>
    </w:p>
    <w:p w14:paraId="0483F04B" w14:textId="77777777" w:rsidR="000928E2" w:rsidRPr="000928E2" w:rsidRDefault="000928E2" w:rsidP="000928E2">
      <w:pPr>
        <w:rPr>
          <w:color w:val="0B769F" w:themeColor="accent4" w:themeShade="BF"/>
          <w:lang w:val="fr-FR"/>
        </w:rPr>
      </w:pPr>
    </w:p>
    <w:p w14:paraId="54A61016" w14:textId="77777777" w:rsidR="000928E2" w:rsidRPr="000928E2" w:rsidRDefault="000928E2" w:rsidP="000928E2">
      <w:p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Un monitoring sera effectué par les OA pour analyser l’utilisation des ASD papier après le 01 septembre.</w:t>
      </w:r>
    </w:p>
    <w:p w14:paraId="7002D746" w14:textId="77777777" w:rsidR="000928E2" w:rsidRDefault="000928E2" w:rsidP="000928E2">
      <w:pPr>
        <w:rPr>
          <w:lang w:val="fr-FR"/>
        </w:rPr>
      </w:pPr>
    </w:p>
    <w:p w14:paraId="6A1357B4" w14:textId="77777777" w:rsidR="000928E2" w:rsidRPr="000928E2" w:rsidRDefault="000928E2" w:rsidP="000928E2">
      <w:pPr>
        <w:rPr>
          <w:lang w:val="fr-FR"/>
        </w:rPr>
      </w:pPr>
    </w:p>
    <w:p w14:paraId="031885D6" w14:textId="77777777" w:rsidR="000928E2" w:rsidRPr="000928E2" w:rsidRDefault="000928E2" w:rsidP="000928E2">
      <w:pPr>
        <w:numPr>
          <w:ilvl w:val="0"/>
          <w:numId w:val="6"/>
        </w:numPr>
        <w:rPr>
          <w:lang w:val="fr-FR"/>
        </w:rPr>
      </w:pPr>
      <w:r w:rsidRPr="000928E2">
        <w:rPr>
          <w:lang w:val="fr-FR"/>
        </w:rPr>
        <w:t>Comment un médecin peut-il prouver que la tarification électronique était temporairement indisponible pour cas de force majeure (en cas de problème technique, par exemple) afin que les organismes assureurs acceptent l’attestation papier ?</w:t>
      </w:r>
    </w:p>
    <w:p w14:paraId="5ED3165E" w14:textId="77777777" w:rsidR="000928E2" w:rsidRPr="000928E2" w:rsidRDefault="000928E2" w:rsidP="000928E2">
      <w:pPr>
        <w:numPr>
          <w:ilvl w:val="0"/>
          <w:numId w:val="4"/>
        </w:num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A ce stade, aucune preuve n’est requise par la règlementation. Cependant, un monitoring sera effectué par les OA pour analyser l’utilisation des ASD papier après le 01 septembre.</w:t>
      </w:r>
    </w:p>
    <w:p w14:paraId="630DF3C2" w14:textId="77777777" w:rsidR="000928E2" w:rsidRPr="000928E2" w:rsidRDefault="000928E2" w:rsidP="000928E2">
      <w:pPr>
        <w:rPr>
          <w:lang w:val="fr-FR"/>
        </w:rPr>
      </w:pPr>
    </w:p>
    <w:p w14:paraId="294D41A1" w14:textId="77777777" w:rsidR="000928E2" w:rsidRPr="000928E2" w:rsidRDefault="000928E2" w:rsidP="000928E2">
      <w:pPr>
        <w:numPr>
          <w:ilvl w:val="0"/>
          <w:numId w:val="6"/>
        </w:numPr>
        <w:rPr>
          <w:lang w:val="fr-FR"/>
        </w:rPr>
      </w:pPr>
      <w:r w:rsidRPr="000928E2">
        <w:rPr>
          <w:lang w:val="fr-FR"/>
        </w:rPr>
        <w:t>Un délai de régularisation est-il prévu pour les prestations déjà fournies avant le 1er septembre 2025 pour lesquelles aucune attestation n’a encore été délivrée ou aucun envoi électronique n’a pu être effectué ?</w:t>
      </w:r>
    </w:p>
    <w:p w14:paraId="13DB8366" w14:textId="6E578FC1" w:rsidR="000928E2" w:rsidRPr="000928E2" w:rsidRDefault="000928E2" w:rsidP="000928E2">
      <w:pPr>
        <w:numPr>
          <w:ilvl w:val="0"/>
          <w:numId w:val="4"/>
        </w:num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Aucun délai de régularisation n’a été prévu pour ce cas de figure. Comme indiqué plus haut,  </w:t>
      </w:r>
      <w:r w:rsidR="00522CDD">
        <w:rPr>
          <w:color w:val="0B769F" w:themeColor="accent4" w:themeShade="BF"/>
          <w:lang w:val="fr-FR"/>
        </w:rPr>
        <w:t xml:space="preserve">une </w:t>
      </w:r>
      <w:proofErr w:type="spellStart"/>
      <w:r w:rsidRPr="000928E2">
        <w:rPr>
          <w:color w:val="0B769F" w:themeColor="accent4" w:themeShade="BF"/>
          <w:lang w:val="fr-FR"/>
        </w:rPr>
        <w:t>eAttest</w:t>
      </w:r>
      <w:proofErr w:type="spellEnd"/>
      <w:r w:rsidR="00522CDD">
        <w:rPr>
          <w:color w:val="0B769F" w:themeColor="accent4" w:themeShade="BF"/>
          <w:lang w:val="fr-FR"/>
        </w:rPr>
        <w:t xml:space="preserve"> peut seulement être envoyée le jour même de la prestation</w:t>
      </w:r>
      <w:r w:rsidRPr="000928E2">
        <w:rPr>
          <w:color w:val="0B769F" w:themeColor="accent4" w:themeShade="BF"/>
          <w:lang w:val="fr-FR"/>
        </w:rPr>
        <w:t xml:space="preserve">.  Si le dispensateur applique le tiers-payant,  il peut facturer la prestation via </w:t>
      </w:r>
      <w:proofErr w:type="spellStart"/>
      <w:r w:rsidRPr="000928E2">
        <w:rPr>
          <w:color w:val="0B769F" w:themeColor="accent4" w:themeShade="BF"/>
          <w:lang w:val="fr-FR"/>
        </w:rPr>
        <w:t>eFact</w:t>
      </w:r>
      <w:proofErr w:type="spellEnd"/>
      <w:r w:rsidRPr="000928E2">
        <w:rPr>
          <w:color w:val="0B769F" w:themeColor="accent4" w:themeShade="BF"/>
          <w:lang w:val="fr-FR"/>
        </w:rPr>
        <w:t>, qui permet une facturation d’une prestation du passé.</w:t>
      </w:r>
    </w:p>
    <w:p w14:paraId="674CA596" w14:textId="77777777" w:rsidR="000928E2" w:rsidRPr="000928E2" w:rsidRDefault="000928E2" w:rsidP="000928E2">
      <w:pPr>
        <w:rPr>
          <w:lang w:val="fr-FR"/>
        </w:rPr>
      </w:pPr>
    </w:p>
    <w:p w14:paraId="02795AEA" w14:textId="77777777" w:rsidR="000928E2" w:rsidRPr="000928E2" w:rsidRDefault="000928E2" w:rsidP="000928E2">
      <w:pPr>
        <w:rPr>
          <w:b/>
          <w:bCs/>
          <w:lang w:val="fr-FR"/>
        </w:rPr>
      </w:pPr>
      <w:r w:rsidRPr="000928E2">
        <w:rPr>
          <w:b/>
          <w:bCs/>
          <w:lang w:val="fr-FR"/>
        </w:rPr>
        <w:t> Question 2 – Application des sanctions</w:t>
      </w:r>
    </w:p>
    <w:p w14:paraId="04A17A4F" w14:textId="77777777" w:rsidR="000928E2" w:rsidRPr="000928E2" w:rsidRDefault="000928E2" w:rsidP="000928E2">
      <w:pPr>
        <w:rPr>
          <w:color w:val="0B769F" w:themeColor="accent4" w:themeShade="BF"/>
          <w:lang w:val="fr-FR"/>
        </w:rPr>
      </w:pPr>
      <w:r w:rsidRPr="000928E2">
        <w:rPr>
          <w:color w:val="0B769F" w:themeColor="accent4" w:themeShade="BF"/>
          <w:lang w:val="fr-FR"/>
        </w:rPr>
        <w:t>Un monitoring sera effectué par les OA pour analyser l’utilisation des ASD papier après le 01 septembre. Les résultats de ce monitoring nous permettront d’évaluer si d’éventuelles sanctions sont nécessaires.</w:t>
      </w:r>
    </w:p>
    <w:p w14:paraId="41DDDE20" w14:textId="77777777" w:rsidR="000928E2" w:rsidRPr="000928E2" w:rsidRDefault="000928E2" w:rsidP="000928E2">
      <w:pPr>
        <w:rPr>
          <w:b/>
          <w:bCs/>
          <w:lang w:val="fr-FR"/>
        </w:rPr>
      </w:pPr>
    </w:p>
    <w:p w14:paraId="779F4FA6" w14:textId="77777777" w:rsidR="000928E2" w:rsidRPr="000928E2" w:rsidRDefault="000928E2" w:rsidP="000928E2">
      <w:pPr>
        <w:rPr>
          <w:b/>
          <w:bCs/>
          <w:lang w:val="fr-FR"/>
        </w:rPr>
      </w:pPr>
    </w:p>
    <w:p w14:paraId="35BF82A6" w14:textId="77777777" w:rsidR="000928E2" w:rsidRPr="000928E2" w:rsidRDefault="000928E2" w:rsidP="000928E2">
      <w:pPr>
        <w:rPr>
          <w:b/>
          <w:bCs/>
          <w:color w:val="0B769F" w:themeColor="accent4" w:themeShade="BF"/>
          <w:lang w:val="fr-FR"/>
        </w:rPr>
      </w:pPr>
      <w:r w:rsidRPr="000928E2">
        <w:rPr>
          <w:b/>
          <w:bCs/>
          <w:color w:val="0B769F" w:themeColor="accent4" w:themeShade="BF"/>
          <w:lang w:val="fr-FR"/>
        </w:rPr>
        <w:t>Informations disponibles sur notre page web :</w:t>
      </w:r>
    </w:p>
    <w:p w14:paraId="0F03F126" w14:textId="77777777" w:rsidR="000928E2" w:rsidRPr="000928E2" w:rsidRDefault="000928E2" w:rsidP="000928E2">
      <w:pPr>
        <w:rPr>
          <w:lang w:val="fr-FR"/>
        </w:rPr>
      </w:pPr>
      <w:hyperlink r:id="rId12" w:history="1">
        <w:r w:rsidRPr="000928E2">
          <w:rPr>
            <w:rStyle w:val="Hyperlink"/>
            <w:lang w:val="fr-FR"/>
          </w:rPr>
          <w:t>https://www.inami.fgov.be/fr/professionnels/professionnels-de-la-sante/medecins/exercice-du-metier/facturation-electronique-obligatoire-pour-les-medecins</w:t>
        </w:r>
      </w:hyperlink>
    </w:p>
    <w:p w14:paraId="30C9034D" w14:textId="77777777" w:rsidR="000928E2" w:rsidRPr="000928E2" w:rsidRDefault="000928E2" w:rsidP="000928E2">
      <w:pPr>
        <w:rPr>
          <w:b/>
          <w:bCs/>
          <w:lang w:val="fr-FR"/>
        </w:rPr>
      </w:pPr>
    </w:p>
    <w:p w14:paraId="6770DF2B" w14:textId="77777777" w:rsidR="000928E2" w:rsidRPr="000928E2" w:rsidRDefault="000928E2" w:rsidP="000928E2">
      <w:pPr>
        <w:rPr>
          <w:lang w:val="fr-FR"/>
        </w:rPr>
      </w:pPr>
    </w:p>
    <w:p w14:paraId="5DAF9D1A" w14:textId="77777777" w:rsidR="000928E2" w:rsidRPr="000928E2" w:rsidRDefault="000928E2" w:rsidP="000928E2">
      <w:pPr>
        <w:rPr>
          <w:lang w:val="fr-FR"/>
        </w:rPr>
      </w:pPr>
    </w:p>
    <w:p w14:paraId="352AD493" w14:textId="77777777" w:rsidR="000928E2" w:rsidRPr="000928E2" w:rsidRDefault="000928E2" w:rsidP="000928E2">
      <w:pPr>
        <w:rPr>
          <w:lang w:val="fr-FR"/>
        </w:rPr>
      </w:pPr>
    </w:p>
    <w:p w14:paraId="6149762B" w14:textId="77777777" w:rsidR="00942032" w:rsidRPr="00942032" w:rsidRDefault="00942032" w:rsidP="00942032">
      <w:pPr>
        <w:rPr>
          <w:b/>
          <w:bCs/>
          <w:u w:val="single"/>
          <w:lang w:val="fr-FR"/>
        </w:rPr>
      </w:pPr>
      <w:r w:rsidRPr="00942032">
        <w:rPr>
          <w:b/>
          <w:bCs/>
          <w:u w:val="single"/>
          <w:lang w:val="fr-FR"/>
        </w:rPr>
        <w:lastRenderedPageBreak/>
        <w:t xml:space="preserve">Liste de contacts OA – </w:t>
      </w:r>
      <w:proofErr w:type="spellStart"/>
      <w:r w:rsidRPr="00942032">
        <w:rPr>
          <w:b/>
          <w:bCs/>
          <w:u w:val="single"/>
          <w:lang w:val="fr-FR"/>
        </w:rPr>
        <w:t>eFact</w:t>
      </w:r>
      <w:proofErr w:type="spellEnd"/>
      <w:r w:rsidRPr="00942032">
        <w:rPr>
          <w:b/>
          <w:bCs/>
          <w:u w:val="single"/>
          <w:lang w:val="fr-FR"/>
        </w:rPr>
        <w:t>/</w:t>
      </w:r>
      <w:proofErr w:type="spellStart"/>
      <w:r w:rsidRPr="00942032">
        <w:rPr>
          <w:b/>
          <w:bCs/>
          <w:u w:val="single"/>
          <w:lang w:val="fr-FR"/>
        </w:rPr>
        <w:t>eAttest</w:t>
      </w:r>
      <w:proofErr w:type="spellEnd"/>
      <w:r w:rsidRPr="00942032">
        <w:rPr>
          <w:b/>
          <w:bCs/>
          <w:u w:val="single"/>
          <w:lang w:val="fr-FR"/>
        </w:rPr>
        <w:t>:</w:t>
      </w:r>
    </w:p>
    <w:p w14:paraId="5A474209" w14:textId="77777777" w:rsidR="00942032" w:rsidRPr="00942032" w:rsidRDefault="00942032" w:rsidP="00942032">
      <w:pPr>
        <w:rPr>
          <w:lang w:val="fr-FR"/>
        </w:rPr>
      </w:pPr>
      <w:r w:rsidRPr="00942032">
        <w:rPr>
          <w:color w:val="FF0000"/>
          <w:lang w:val="fr-FR"/>
        </w:rPr>
        <w:t>(Merci aux OA de nous préciser si certaines informations ne sont plus à jour – ces informations seront ajoutées à notre FAQ Facturation électronique)</w:t>
      </w:r>
    </w:p>
    <w:p w14:paraId="7ABD3B1E" w14:textId="77777777" w:rsidR="00942032" w:rsidRPr="00942032" w:rsidRDefault="00942032" w:rsidP="00942032">
      <w:pPr>
        <w:rPr>
          <w:b/>
          <w:bCs/>
          <w:lang w:val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5805"/>
      </w:tblGrid>
      <w:tr w:rsidR="00942032" w:rsidRPr="00522CDD" w14:paraId="16A677B6" w14:textId="77777777" w:rsidTr="00942032">
        <w:tc>
          <w:tcPr>
            <w:tcW w:w="6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E4A9" w14:textId="77777777" w:rsidR="00942032" w:rsidRPr="00942032" w:rsidRDefault="00942032" w:rsidP="00942032">
            <w:pPr>
              <w:rPr>
                <w:lang w:val="fr-FR"/>
              </w:rPr>
            </w:pPr>
            <w:proofErr w:type="spellStart"/>
            <w:r w:rsidRPr="00942032">
              <w:rPr>
                <w:lang w:val="en-GB"/>
              </w:rPr>
              <w:t>Mutualités</w:t>
            </w:r>
            <w:proofErr w:type="spellEnd"/>
            <w:r w:rsidRPr="00942032">
              <w:rPr>
                <w:lang w:val="en-GB"/>
              </w:rPr>
              <w:t xml:space="preserve"> </w:t>
            </w:r>
            <w:proofErr w:type="spellStart"/>
            <w:r w:rsidRPr="00942032">
              <w:rPr>
                <w:lang w:val="en-GB"/>
              </w:rPr>
              <w:t>Chrétiennes</w:t>
            </w:r>
            <w:proofErr w:type="spellEnd"/>
            <w:r w:rsidRPr="00942032">
              <w:rPr>
                <w:lang w:val="en-GB"/>
              </w:rPr>
              <w:t xml:space="preserve"> / </w:t>
            </w:r>
            <w:proofErr w:type="spellStart"/>
            <w:r w:rsidRPr="00942032">
              <w:rPr>
                <w:lang w:val="en-GB"/>
              </w:rPr>
              <w:t>Christelijke</w:t>
            </w:r>
            <w:proofErr w:type="spellEnd"/>
            <w:r w:rsidRPr="00942032">
              <w:rPr>
                <w:lang w:val="en-GB"/>
              </w:rPr>
              <w:t xml:space="preserve"> </w:t>
            </w:r>
            <w:proofErr w:type="spellStart"/>
            <w:r w:rsidRPr="00942032">
              <w:rPr>
                <w:lang w:val="en-GB"/>
              </w:rPr>
              <w:t>Mutualiteiten</w:t>
            </w:r>
            <w:proofErr w:type="spellEnd"/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FD7D" w14:textId="77777777" w:rsidR="00942032" w:rsidRPr="00942032" w:rsidRDefault="00942032" w:rsidP="00942032">
            <w:pPr>
              <w:rPr>
                <w:lang w:val="nl-NL"/>
              </w:rPr>
            </w:pPr>
            <w:hyperlink r:id="rId13" w:tgtFrame="_blank" w:tooltip="https://eur03.safelinks.protection.outlook.com/?url=https%3a%2f%2fwww.cm.be%2fnl%2fcontactgegevens-voor-zorgverleners%23overig&amp;data=05%7c02%7cjulie.poncin%40riziv-inami.fgov.be%7c9a5a649204a44741301408ddec7ccdc6%7c66c008a4b56549a993c9c1e64cad2e11%7c0%7c0%" w:history="1">
              <w:r w:rsidRPr="00942032">
                <w:rPr>
                  <w:rStyle w:val="Hyperlink"/>
                  <w:lang w:val="nl-NL"/>
                </w:rPr>
                <w:t>Contactgegevens voor zorgverleners | CM</w:t>
              </w:r>
            </w:hyperlink>
            <w:r w:rsidRPr="00942032">
              <w:rPr>
                <w:lang w:val="nl-NL"/>
              </w:rPr>
              <w:t xml:space="preserve"> / </w:t>
            </w:r>
            <w:hyperlink r:id="rId14" w:history="1">
              <w:r w:rsidRPr="00942032">
                <w:rPr>
                  <w:rStyle w:val="Hyperlink"/>
                  <w:lang w:val="nl-NL"/>
                </w:rPr>
                <w:t>https://www.mc.be/fr/professionnels/contact-prestataires</w:t>
              </w:r>
            </w:hyperlink>
          </w:p>
          <w:p w14:paraId="6DF272EF" w14:textId="77777777" w:rsidR="00942032" w:rsidRPr="00942032" w:rsidRDefault="00942032" w:rsidP="00942032">
            <w:pPr>
              <w:rPr>
                <w:lang w:val="fr-FR"/>
              </w:rPr>
            </w:pPr>
            <w:r w:rsidRPr="00942032">
              <w:rPr>
                <w:lang w:val="fr-FR"/>
              </w:rPr>
              <w:t xml:space="preserve">Statut des fichiers de </w:t>
            </w:r>
            <w:proofErr w:type="spellStart"/>
            <w:r w:rsidRPr="00942032">
              <w:rPr>
                <w:lang w:val="fr-FR"/>
              </w:rPr>
              <w:t>facturation:</w:t>
            </w:r>
            <w:hyperlink r:id="rId15" w:history="1">
              <w:r w:rsidRPr="00942032">
                <w:rPr>
                  <w:rStyle w:val="Hyperlink"/>
                  <w:lang w:val="fr-FR"/>
                </w:rPr>
                <w:t>mdu.cpt@mc.b</w:t>
              </w:r>
              <w:proofErr w:type="spellEnd"/>
              <w:r w:rsidRPr="00942032">
                <w:rPr>
                  <w:rStyle w:val="Hyperlink"/>
                  <w:lang w:val="fr-FR"/>
                </w:rPr>
                <w:t>e</w:t>
              </w:r>
            </w:hyperlink>
            <w:r w:rsidRPr="00942032">
              <w:rPr>
                <w:lang w:val="fr-FR"/>
              </w:rPr>
              <w:t>   02/246.41.97</w:t>
            </w:r>
          </w:p>
          <w:p w14:paraId="09302274" w14:textId="77777777" w:rsidR="00942032" w:rsidRPr="00942032" w:rsidRDefault="00942032" w:rsidP="00942032">
            <w:pPr>
              <w:rPr>
                <w:lang w:val="fr-FR"/>
              </w:rPr>
            </w:pPr>
            <w:r w:rsidRPr="00942032">
              <w:rPr>
                <w:lang w:val="fr-FR"/>
              </w:rPr>
              <w:t xml:space="preserve">Analyse et rejets: </w:t>
            </w:r>
            <w:hyperlink r:id="rId16" w:history="1">
              <w:r w:rsidRPr="00942032">
                <w:rPr>
                  <w:rStyle w:val="Hyperlink"/>
                  <w:lang w:val="fr-FR"/>
                </w:rPr>
                <w:t>mycarenet@mc.be</w:t>
              </w:r>
            </w:hyperlink>
            <w:r w:rsidRPr="00942032">
              <w:rPr>
                <w:lang w:val="fr-FR"/>
              </w:rPr>
              <w:t xml:space="preserve"> 02/246.43.28</w:t>
            </w:r>
          </w:p>
        </w:tc>
      </w:tr>
      <w:tr w:rsidR="00942032" w:rsidRPr="00942032" w14:paraId="15F18C2D" w14:textId="77777777" w:rsidTr="00942032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441B" w14:textId="77777777" w:rsidR="00942032" w:rsidRPr="00942032" w:rsidRDefault="00942032" w:rsidP="00942032">
            <w:pPr>
              <w:rPr>
                <w:lang w:val="fr-FR"/>
              </w:rPr>
            </w:pPr>
            <w:proofErr w:type="spellStart"/>
            <w:r w:rsidRPr="00942032">
              <w:rPr>
                <w:lang w:val="en-GB"/>
              </w:rPr>
              <w:t>Mutualités</w:t>
            </w:r>
            <w:proofErr w:type="spellEnd"/>
            <w:r w:rsidRPr="00942032">
              <w:rPr>
                <w:lang w:val="en-GB"/>
              </w:rPr>
              <w:t xml:space="preserve"> </w:t>
            </w:r>
            <w:proofErr w:type="spellStart"/>
            <w:r w:rsidRPr="00942032">
              <w:rPr>
                <w:lang w:val="en-GB"/>
              </w:rPr>
              <w:t>Neutres</w:t>
            </w:r>
            <w:proofErr w:type="spellEnd"/>
            <w:r w:rsidRPr="00942032">
              <w:rPr>
                <w:lang w:val="en-GB"/>
              </w:rPr>
              <w:t xml:space="preserve"> / </w:t>
            </w:r>
            <w:proofErr w:type="spellStart"/>
            <w:r w:rsidRPr="00942032">
              <w:rPr>
                <w:lang w:val="en-GB"/>
              </w:rPr>
              <w:t>Neutraal</w:t>
            </w:r>
            <w:proofErr w:type="spellEnd"/>
            <w:r w:rsidRPr="00942032">
              <w:rPr>
                <w:lang w:val="en-GB"/>
              </w:rPr>
              <w:t xml:space="preserve"> </w:t>
            </w:r>
            <w:proofErr w:type="spellStart"/>
            <w:r w:rsidRPr="00942032">
              <w:rPr>
                <w:lang w:val="en-GB"/>
              </w:rPr>
              <w:t>ziekenfonds</w:t>
            </w:r>
            <w:proofErr w:type="spellEnd"/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821E" w14:textId="77777777" w:rsidR="00942032" w:rsidRPr="00942032" w:rsidRDefault="00942032" w:rsidP="00942032">
            <w:pPr>
              <w:rPr>
                <w:lang w:val="nl-NL"/>
              </w:rPr>
            </w:pPr>
            <w:r w:rsidRPr="00942032">
              <w:rPr>
                <w:lang w:val="en-GB"/>
              </w:rPr>
              <w:t>02/538.83.00</w:t>
            </w:r>
          </w:p>
          <w:p w14:paraId="1A0CAF96" w14:textId="77777777" w:rsidR="00942032" w:rsidRPr="00942032" w:rsidRDefault="00942032" w:rsidP="00942032">
            <w:pPr>
              <w:rPr>
                <w:lang w:val="nl-NL"/>
              </w:rPr>
            </w:pPr>
            <w:r w:rsidRPr="00942032">
              <w:rPr>
                <w:lang w:val="nl-NL"/>
              </w:rPr>
              <w:t xml:space="preserve">Helpdesk: </w:t>
            </w:r>
            <w:hyperlink r:id="rId17" w:history="1">
              <w:r w:rsidRPr="00942032">
                <w:rPr>
                  <w:rStyle w:val="Hyperlink"/>
                  <w:lang w:val="nl-NL"/>
                </w:rPr>
                <w:t>supports@unmn.be</w:t>
              </w:r>
            </w:hyperlink>
            <w:r w:rsidRPr="00942032">
              <w:rPr>
                <w:lang w:val="fr-FR"/>
              </w:rPr>
              <w:t xml:space="preserve"> </w:t>
            </w:r>
            <w:r w:rsidRPr="00942032">
              <w:rPr>
                <w:lang w:val="nl-NL"/>
              </w:rPr>
              <w:t>  </w:t>
            </w:r>
          </w:p>
          <w:p w14:paraId="73B8DC8A" w14:textId="77777777" w:rsidR="00942032" w:rsidRPr="00942032" w:rsidRDefault="00942032" w:rsidP="00942032">
            <w:pPr>
              <w:rPr>
                <w:lang w:val="en-GB"/>
              </w:rPr>
            </w:pPr>
            <w:r w:rsidRPr="00942032">
              <w:rPr>
                <w:lang w:val="en-GB"/>
              </w:rPr>
              <w:t xml:space="preserve">Helpdesk </w:t>
            </w:r>
            <w:proofErr w:type="spellStart"/>
            <w:r w:rsidRPr="00942032">
              <w:rPr>
                <w:lang w:val="en-GB"/>
              </w:rPr>
              <w:t>MyCarenet</w:t>
            </w:r>
            <w:proofErr w:type="spellEnd"/>
            <w:r w:rsidRPr="00942032">
              <w:rPr>
                <w:lang w:val="en-GB"/>
              </w:rPr>
              <w:t xml:space="preserve">:  </w:t>
            </w:r>
            <w:hyperlink r:id="rId18" w:history="1">
              <w:r w:rsidRPr="00942032">
                <w:rPr>
                  <w:rStyle w:val="Hyperlink"/>
                  <w:lang w:val="en-GB"/>
                </w:rPr>
                <w:t>ccq@unmn.be</w:t>
              </w:r>
            </w:hyperlink>
          </w:p>
        </w:tc>
      </w:tr>
      <w:tr w:rsidR="00942032" w:rsidRPr="00942032" w14:paraId="2E900CE4" w14:textId="77777777" w:rsidTr="00942032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5F81" w14:textId="77777777" w:rsidR="00942032" w:rsidRPr="00942032" w:rsidRDefault="00942032" w:rsidP="00942032">
            <w:pPr>
              <w:rPr>
                <w:lang w:val="fr-FR"/>
              </w:rPr>
            </w:pPr>
            <w:proofErr w:type="spellStart"/>
            <w:r w:rsidRPr="00942032">
              <w:rPr>
                <w:lang w:val="fr-FR"/>
              </w:rPr>
              <w:t>Solidaris</w:t>
            </w:r>
            <w:proofErr w:type="spellEnd"/>
            <w:r w:rsidRPr="00942032">
              <w:rPr>
                <w:lang w:val="fr-FR"/>
              </w:rPr>
              <w:t xml:space="preserve"> (Mutualités Socialistes)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CACD" w14:textId="77777777" w:rsidR="00942032" w:rsidRPr="00942032" w:rsidRDefault="00942032" w:rsidP="00942032">
            <w:pPr>
              <w:rPr>
                <w:lang w:val="fr-FR"/>
              </w:rPr>
            </w:pPr>
            <w:hyperlink r:id="rId19" w:history="1">
              <w:r w:rsidRPr="00942032">
                <w:rPr>
                  <w:rStyle w:val="Hyperlink"/>
                  <w:lang w:val="en-GB"/>
                </w:rPr>
                <w:t>helpdesk.carenet@solidaris.be</w:t>
              </w:r>
            </w:hyperlink>
          </w:p>
        </w:tc>
      </w:tr>
      <w:tr w:rsidR="00942032" w:rsidRPr="00942032" w14:paraId="0D9243AC" w14:textId="77777777" w:rsidTr="00942032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4850" w14:textId="77777777" w:rsidR="00942032" w:rsidRPr="00942032" w:rsidRDefault="00942032" w:rsidP="00942032">
            <w:pPr>
              <w:rPr>
                <w:lang w:val="nl-NL"/>
              </w:rPr>
            </w:pPr>
            <w:proofErr w:type="spellStart"/>
            <w:r w:rsidRPr="00942032">
              <w:rPr>
                <w:lang w:val="en-GB"/>
              </w:rPr>
              <w:t>Mutualités</w:t>
            </w:r>
            <w:proofErr w:type="spellEnd"/>
            <w:r w:rsidRPr="00942032">
              <w:rPr>
                <w:lang w:val="en-GB"/>
              </w:rPr>
              <w:t xml:space="preserve"> </w:t>
            </w:r>
            <w:proofErr w:type="spellStart"/>
            <w:r w:rsidRPr="00942032">
              <w:rPr>
                <w:lang w:val="en-GB"/>
              </w:rPr>
              <w:t>Libérales</w:t>
            </w:r>
            <w:proofErr w:type="spellEnd"/>
            <w:r w:rsidRPr="00942032">
              <w:rPr>
                <w:lang w:val="en-GB"/>
              </w:rPr>
              <w:t xml:space="preserve"> / LM-</w:t>
            </w:r>
            <w:proofErr w:type="spellStart"/>
            <w:r w:rsidRPr="00942032">
              <w:rPr>
                <w:lang w:val="en-GB"/>
              </w:rPr>
              <w:t>ziekenfonds</w:t>
            </w:r>
            <w:proofErr w:type="spellEnd"/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1BD3" w14:textId="77777777" w:rsidR="00942032" w:rsidRPr="00942032" w:rsidRDefault="00942032" w:rsidP="00942032">
            <w:pPr>
              <w:rPr>
                <w:u w:val="single"/>
                <w:lang w:val="fr-FR"/>
              </w:rPr>
            </w:pPr>
            <w:r w:rsidRPr="00942032">
              <w:rPr>
                <w:lang w:val="fr-FR"/>
              </w:rPr>
              <w:t xml:space="preserve">facturation </w:t>
            </w:r>
            <w:proofErr w:type="spellStart"/>
            <w:r w:rsidRPr="00942032">
              <w:rPr>
                <w:lang w:val="fr-FR"/>
              </w:rPr>
              <w:t>electronique</w:t>
            </w:r>
            <w:proofErr w:type="spellEnd"/>
            <w:r w:rsidRPr="00942032">
              <w:rPr>
                <w:lang w:val="fr-FR"/>
              </w:rPr>
              <w:t xml:space="preserve">: </w:t>
            </w:r>
            <w:hyperlink r:id="rId20" w:tgtFrame="_blank" w:history="1">
              <w:r w:rsidRPr="00942032">
                <w:rPr>
                  <w:rStyle w:val="Hyperlink"/>
                </w:rPr>
                <w:t>edbtpe@ml.be</w:t>
              </w:r>
            </w:hyperlink>
            <w:r w:rsidRPr="00942032">
              <w:rPr>
                <w:lang w:val="en-GB"/>
              </w:rPr>
              <w:t xml:space="preserve"> </w:t>
            </w:r>
            <w:r w:rsidRPr="00942032">
              <w:t xml:space="preserve">(NL) of </w:t>
            </w:r>
            <w:hyperlink r:id="rId21" w:tgtFrame="_blank" w:history="1">
              <w:r w:rsidRPr="00942032">
                <w:rPr>
                  <w:rStyle w:val="Hyperlink"/>
                </w:rPr>
                <w:t>edbtpe@lm.be</w:t>
              </w:r>
            </w:hyperlink>
            <w:r w:rsidRPr="00942032">
              <w:rPr>
                <w:lang w:val="en-GB"/>
              </w:rPr>
              <w:t xml:space="preserve"> </w:t>
            </w:r>
            <w:r w:rsidRPr="00942032">
              <w:t>(FR)</w:t>
            </w:r>
            <w:r w:rsidRPr="00942032">
              <w:rPr>
                <w:lang w:val="en-GB"/>
              </w:rPr>
              <w:t> </w:t>
            </w:r>
          </w:p>
        </w:tc>
      </w:tr>
      <w:tr w:rsidR="00942032" w:rsidRPr="00942032" w14:paraId="038D586E" w14:textId="77777777" w:rsidTr="00942032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E50B" w14:textId="77777777" w:rsidR="00942032" w:rsidRPr="00942032" w:rsidRDefault="00942032" w:rsidP="00942032">
            <w:pPr>
              <w:rPr>
                <w:lang w:val="en-GB"/>
              </w:rPr>
            </w:pPr>
            <w:proofErr w:type="spellStart"/>
            <w:r w:rsidRPr="00942032">
              <w:rPr>
                <w:lang w:val="en-GB"/>
              </w:rPr>
              <w:t>Mutualités</w:t>
            </w:r>
            <w:proofErr w:type="spellEnd"/>
            <w:r w:rsidRPr="00942032">
              <w:rPr>
                <w:lang w:val="en-GB"/>
              </w:rPr>
              <w:t xml:space="preserve"> Libres / </w:t>
            </w:r>
            <w:proofErr w:type="spellStart"/>
            <w:r w:rsidRPr="00942032">
              <w:rPr>
                <w:lang w:val="en-GB"/>
              </w:rPr>
              <w:t>Onafhankelijke</w:t>
            </w:r>
            <w:proofErr w:type="spellEnd"/>
            <w:r w:rsidRPr="00942032">
              <w:rPr>
                <w:lang w:val="en-GB"/>
              </w:rPr>
              <w:t xml:space="preserve"> </w:t>
            </w:r>
            <w:proofErr w:type="spellStart"/>
            <w:r w:rsidRPr="00942032">
              <w:rPr>
                <w:lang w:val="en-GB"/>
              </w:rPr>
              <w:t>Ziekenfondsen</w:t>
            </w:r>
            <w:proofErr w:type="spellEnd"/>
          </w:p>
          <w:p w14:paraId="51719C61" w14:textId="77777777" w:rsidR="00942032" w:rsidRPr="00942032" w:rsidRDefault="00942032" w:rsidP="00942032">
            <w:pPr>
              <w:rPr>
                <w:lang w:val="nl-NL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16B9" w14:textId="77777777" w:rsidR="00942032" w:rsidRPr="00942032" w:rsidRDefault="00942032" w:rsidP="00942032">
            <w:pPr>
              <w:rPr>
                <w:lang w:val="nl-NL"/>
              </w:rPr>
            </w:pPr>
            <w:r w:rsidRPr="00942032">
              <w:rPr>
                <w:lang w:val="en-GB"/>
              </w:rPr>
              <w:t>02/778.95.55</w:t>
            </w:r>
          </w:p>
          <w:p w14:paraId="3C3976BF" w14:textId="77777777" w:rsidR="00942032" w:rsidRPr="00942032" w:rsidRDefault="00942032" w:rsidP="00942032">
            <w:pPr>
              <w:rPr>
                <w:lang w:val="nl-NL"/>
              </w:rPr>
            </w:pPr>
            <w:hyperlink r:id="rId22" w:history="1">
              <w:r w:rsidRPr="00942032">
                <w:rPr>
                  <w:rStyle w:val="Hyperlink"/>
                  <w:lang w:val="nl-NL"/>
                </w:rPr>
                <w:t>Opercontfac@mloz.be</w:t>
              </w:r>
            </w:hyperlink>
          </w:p>
        </w:tc>
      </w:tr>
      <w:tr w:rsidR="00942032" w:rsidRPr="00522CDD" w14:paraId="7D147C33" w14:textId="77777777" w:rsidTr="00942032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61BAC" w14:textId="77777777" w:rsidR="00942032" w:rsidRPr="00942032" w:rsidRDefault="00942032" w:rsidP="00942032">
            <w:pPr>
              <w:rPr>
                <w:lang w:val="nl-NL"/>
              </w:rPr>
            </w:pPr>
            <w:r w:rsidRPr="00942032">
              <w:rPr>
                <w:lang w:val="en-GB"/>
              </w:rPr>
              <w:t>C.A.A.M.I. / H.Z.I.V.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79AB" w14:textId="77777777" w:rsidR="00942032" w:rsidRPr="00942032" w:rsidRDefault="00942032" w:rsidP="00942032">
            <w:pPr>
              <w:rPr>
                <w:lang w:val="fr-FR"/>
              </w:rPr>
            </w:pPr>
            <w:r w:rsidRPr="00942032">
              <w:rPr>
                <w:lang w:val="fr-FR"/>
              </w:rPr>
              <w:t xml:space="preserve">Helpdesk facturation électronique (NL): 02 229 34 34 </w:t>
            </w:r>
          </w:p>
          <w:p w14:paraId="25A842FB" w14:textId="77777777" w:rsidR="00942032" w:rsidRPr="00942032" w:rsidRDefault="00942032" w:rsidP="00942032">
            <w:pPr>
              <w:rPr>
                <w:lang w:val="fr-FR"/>
              </w:rPr>
            </w:pPr>
            <w:r w:rsidRPr="00942032">
              <w:rPr>
                <w:lang w:val="fr-FR"/>
              </w:rPr>
              <w:t>Helpdesk facturation électronique (FR): 02 229 34 33</w:t>
            </w:r>
          </w:p>
          <w:p w14:paraId="431E50F4" w14:textId="77777777" w:rsidR="00942032" w:rsidRPr="00942032" w:rsidRDefault="00942032" w:rsidP="00942032">
            <w:pPr>
              <w:rPr>
                <w:lang w:val="fr-FR"/>
              </w:rPr>
            </w:pPr>
            <w:hyperlink r:id="rId23" w:history="1">
              <w:r w:rsidRPr="00942032">
                <w:rPr>
                  <w:rStyle w:val="Hyperlink"/>
                  <w:lang w:val="fr-FR"/>
                </w:rPr>
                <w:t>elecfac@caami-hziv.fgov.be</w:t>
              </w:r>
            </w:hyperlink>
          </w:p>
        </w:tc>
      </w:tr>
      <w:tr w:rsidR="00942032" w:rsidRPr="00942032" w14:paraId="4A82CC89" w14:textId="77777777" w:rsidTr="00942032">
        <w:tc>
          <w:tcPr>
            <w:tcW w:w="6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DAF62" w14:textId="77777777" w:rsidR="00942032" w:rsidRPr="00942032" w:rsidRDefault="00942032" w:rsidP="00942032">
            <w:pPr>
              <w:rPr>
                <w:lang w:val="fr-FR"/>
              </w:rPr>
            </w:pPr>
            <w:r w:rsidRPr="00942032">
              <w:rPr>
                <w:lang w:val="fr-FR"/>
              </w:rPr>
              <w:t>Caisse des Soins de Santé de HR Rail / HR Rail (VI 900)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0A02" w14:textId="77777777" w:rsidR="00942032" w:rsidRPr="00942032" w:rsidRDefault="00942032" w:rsidP="00942032">
            <w:pPr>
              <w:rPr>
                <w:lang w:val="fr-FR"/>
              </w:rPr>
            </w:pPr>
            <w:hyperlink r:id="rId24" w:history="1">
              <w:r w:rsidRPr="00942032">
                <w:rPr>
                  <w:rStyle w:val="Hyperlink"/>
                  <w:lang w:val="fr-FR"/>
                </w:rPr>
                <w:t>900-factura@hr-rail.be</w:t>
              </w:r>
            </w:hyperlink>
          </w:p>
        </w:tc>
      </w:tr>
    </w:tbl>
    <w:p w14:paraId="763E9DF2" w14:textId="77777777" w:rsidR="000928E2" w:rsidRDefault="000928E2">
      <w:pPr>
        <w:rPr>
          <w:lang w:val="fr-FR"/>
        </w:rPr>
      </w:pPr>
    </w:p>
    <w:p w14:paraId="65D2C171" w14:textId="77777777" w:rsidR="00942032" w:rsidRDefault="00942032">
      <w:pPr>
        <w:rPr>
          <w:lang w:val="fr-FR"/>
        </w:rPr>
      </w:pPr>
    </w:p>
    <w:p w14:paraId="3BD01CA5" w14:textId="77777777" w:rsidR="00942032" w:rsidRPr="00942032" w:rsidRDefault="00942032" w:rsidP="00942032">
      <w:pPr>
        <w:rPr>
          <w:u w:val="single"/>
          <w:lang w:val="fr-FR"/>
        </w:rPr>
      </w:pPr>
      <w:r w:rsidRPr="00942032">
        <w:rPr>
          <w:u w:val="single"/>
          <w:lang w:val="fr-FR"/>
        </w:rPr>
        <w:t>Informations complémentaires:</w:t>
      </w:r>
    </w:p>
    <w:p w14:paraId="39E7B8E3" w14:textId="77777777" w:rsidR="00942032" w:rsidRPr="00942032" w:rsidRDefault="00942032" w:rsidP="00942032">
      <w:pPr>
        <w:rPr>
          <w:lang w:val="fr-FR"/>
        </w:rPr>
      </w:pPr>
      <w:hyperlink r:id="rId25" w:history="1">
        <w:r w:rsidRPr="00942032">
          <w:rPr>
            <w:rStyle w:val="Hyperlink"/>
            <w:lang w:val="fr-FR"/>
          </w:rPr>
          <w:t>Collège Intermutualiste National - Helpdesk MyCareNet</w:t>
        </w:r>
      </w:hyperlink>
    </w:p>
    <w:p w14:paraId="6BD4FFEB" w14:textId="77777777" w:rsidR="00942032" w:rsidRPr="000928E2" w:rsidRDefault="00942032">
      <w:pPr>
        <w:rPr>
          <w:lang w:val="fr-FR"/>
        </w:rPr>
      </w:pPr>
    </w:p>
    <w:sectPr w:rsidR="00942032" w:rsidRPr="000928E2">
      <w:footerReference w:type="default" r:id="rId2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78C2" w14:textId="77777777" w:rsidR="00942032" w:rsidRDefault="00942032" w:rsidP="00942032">
      <w:r>
        <w:separator/>
      </w:r>
    </w:p>
  </w:endnote>
  <w:endnote w:type="continuationSeparator" w:id="0">
    <w:p w14:paraId="372A2555" w14:textId="77777777" w:rsidR="00942032" w:rsidRDefault="00942032" w:rsidP="0094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7890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893CD" w14:textId="420A0447" w:rsidR="00942032" w:rsidRDefault="009420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D1D07" w14:textId="77777777" w:rsidR="00942032" w:rsidRDefault="00942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53E5" w14:textId="77777777" w:rsidR="00942032" w:rsidRDefault="00942032" w:rsidP="00942032">
      <w:r>
        <w:separator/>
      </w:r>
    </w:p>
  </w:footnote>
  <w:footnote w:type="continuationSeparator" w:id="0">
    <w:p w14:paraId="55FEBE4F" w14:textId="77777777" w:rsidR="00942032" w:rsidRDefault="00942032" w:rsidP="00942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968"/>
    <w:multiLevelType w:val="hybridMultilevel"/>
    <w:tmpl w:val="918AF7FE"/>
    <w:lvl w:ilvl="0" w:tplc="270A14C8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43609"/>
    <w:multiLevelType w:val="multilevel"/>
    <w:tmpl w:val="6DDA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22FEF"/>
    <w:multiLevelType w:val="hybridMultilevel"/>
    <w:tmpl w:val="80F6E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1878"/>
    <w:multiLevelType w:val="hybridMultilevel"/>
    <w:tmpl w:val="56FC52B8"/>
    <w:lvl w:ilvl="0" w:tplc="24BE01AA">
      <w:numFmt w:val="bullet"/>
      <w:lvlText w:val=""/>
      <w:lvlJc w:val="left"/>
      <w:pPr>
        <w:ind w:left="1080" w:hanging="360"/>
      </w:pPr>
      <w:rPr>
        <w:rFonts w:ascii="Wingdings" w:eastAsia="Aptos" w:hAnsi="Wingdings" w:cs="Calibri" w:hint="default"/>
        <w:i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317B6D"/>
    <w:multiLevelType w:val="hybridMultilevel"/>
    <w:tmpl w:val="9F888C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51ABD"/>
    <w:multiLevelType w:val="hybridMultilevel"/>
    <w:tmpl w:val="801EA6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515F1"/>
    <w:multiLevelType w:val="hybridMultilevel"/>
    <w:tmpl w:val="0660DC48"/>
    <w:lvl w:ilvl="0" w:tplc="9AC621FC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51C53"/>
    <w:multiLevelType w:val="multilevel"/>
    <w:tmpl w:val="C5DC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08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014737">
    <w:abstractNumId w:val="3"/>
  </w:num>
  <w:num w:numId="3" w16cid:durableId="940797978">
    <w:abstractNumId w:val="4"/>
  </w:num>
  <w:num w:numId="4" w16cid:durableId="501629303">
    <w:abstractNumId w:val="0"/>
  </w:num>
  <w:num w:numId="5" w16cid:durableId="1737438742">
    <w:abstractNumId w:val="2"/>
  </w:num>
  <w:num w:numId="6" w16cid:durableId="2067870702">
    <w:abstractNumId w:val="5"/>
  </w:num>
  <w:num w:numId="7" w16cid:durableId="808784407">
    <w:abstractNumId w:val="7"/>
  </w:num>
  <w:num w:numId="8" w16cid:durableId="1960185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E2"/>
    <w:rsid w:val="00027F96"/>
    <w:rsid w:val="000928E2"/>
    <w:rsid w:val="003720D4"/>
    <w:rsid w:val="0039240E"/>
    <w:rsid w:val="00505ED7"/>
    <w:rsid w:val="00522CDD"/>
    <w:rsid w:val="00651130"/>
    <w:rsid w:val="0067168E"/>
    <w:rsid w:val="006F4047"/>
    <w:rsid w:val="007B35A1"/>
    <w:rsid w:val="00942032"/>
    <w:rsid w:val="00A61DE2"/>
    <w:rsid w:val="00AA03C4"/>
    <w:rsid w:val="00C24E56"/>
    <w:rsid w:val="00C253B3"/>
    <w:rsid w:val="00D337B7"/>
    <w:rsid w:val="00F67090"/>
    <w:rsid w:val="00F8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66A4E"/>
  <w15:chartTrackingRefBased/>
  <w15:docId w15:val="{830D5B2B-CCBC-4FCB-AEA5-F6AFA084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2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28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28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28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28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28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28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28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28E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0928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0928E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0928E2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0928E2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0928E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0928E2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0928E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0928E2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092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928E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0928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928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92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8E2"/>
    <w:rPr>
      <w:rFonts w:ascii="Arial" w:hAnsi="Arial"/>
      <w:i/>
      <w:iCs/>
      <w:color w:val="404040" w:themeColor="text1" w:themeTint="B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92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8E2"/>
    <w:rPr>
      <w:rFonts w:ascii="Arial" w:hAnsi="Arial"/>
      <w:i/>
      <w:iCs/>
      <w:color w:val="0F4761" w:themeColor="accent1" w:themeShade="BF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0928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0928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8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42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203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42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032"/>
    <w:rPr>
      <w:rFonts w:ascii="Arial" w:hAnsi="Arial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027F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fra.mycarenet.be%2Ffaq&amp;data=05%7C02%7Cmarie-catherine.bardou%40riziv-inami.fgov.be%7Cf04d99b492fb4f5f5af608ddf6c6a7c8%7C66c008a4b56549a993c9c1e64cad2e11%7C0%7C0%7C638938055272319517%7CUnknown%7CTWFpbGZsb3d8eyJFbXB0eU1hcGkiOnRydWUsIlYiOiIwLjAuMDAwMCIsIlAiOiJXaW4zMiIsIkFOIjoiTWFpbCIsIldUIjoyfQ%3D%3D%7C0%7C%7C%7C&amp;sdata=SP2ZNf0S7MekacNiin2uj4f1hDmT3KMY6VcUlDxlGpM%3D&amp;reserved=0" TargetMode="External"/><Relationship Id="rId13" Type="http://schemas.openxmlformats.org/officeDocument/2006/relationships/hyperlink" Target="https://eur03.safelinks.protection.outlook.com/?url=https%3A%2F%2Fwww.cm.be%2Fnl%2Fcontactgegevens-voor-zorgverleners%23overig&amp;data=05%7C02%7Cmarie-catherine.bardou%40riziv-inami.fgov.be%7Cf04d99b492fb4f5f5af608ddf6c6a7c8%7C66c008a4b56549a993c9c1e64cad2e11%7C0%7C0%7C638938055272442817%7CUnknown%7CTWFpbGZsb3d8eyJFbXB0eU1hcGkiOnRydWUsIlYiOiIwLjAuMDAwMCIsIlAiOiJXaW4zMiIsIkFOIjoiTWFpbCIsIldUIjoyfQ%3D%3D%7C0%7C%7C%7C&amp;sdata=ZZ0kd310F%2BKCE3Ac4drhfYfJQ0zKWibNdEUjC7TR9Hw%3D&amp;reserved=0" TargetMode="External"/><Relationship Id="rId18" Type="http://schemas.openxmlformats.org/officeDocument/2006/relationships/hyperlink" Target="mailto:ccq@unmn.be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edbtpe@lm.b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ur03.safelinks.protection.outlook.com/?url=https%3A%2F%2Fwww.inami.fgov.be%2Ffr%2Fprofessionnels%2Fprofessionnels-de-la-sante%2Fmedecins%2Fexercice-du-metier%2Ffacturation-electronique-obligatoire-pour-les-medecins&amp;data=05%7C02%7Cmarie-catherine.bardou%40riziv-inami.fgov.be%7Cf04d99b492fb4f5f5af608ddf6c6a7c8%7C66c008a4b56549a993c9c1e64cad2e11%7C0%7C0%7C638938055272402813%7CUnknown%7CTWFpbGZsb3d8eyJFbXB0eU1hcGkiOnRydWUsIlYiOiIwLjAuMDAwMCIsIlAiOiJXaW4zMiIsIkFOIjoiTWFpbCIsIldUIjoyfQ%3D%3D%7C0%7C%7C%7C&amp;sdata=ggp7LgFMX%2Bd4I3OIAv4LTRyGmppYCdV%2FJtGk%2BQZAX2Q%3D&amp;reserved=0" TargetMode="External"/><Relationship Id="rId17" Type="http://schemas.openxmlformats.org/officeDocument/2006/relationships/hyperlink" Target="mailto:supports@unmn.be" TargetMode="External"/><Relationship Id="rId25" Type="http://schemas.openxmlformats.org/officeDocument/2006/relationships/hyperlink" Target="https://eur03.safelinks.protection.outlook.com/?url=https%3A%2F%2Ffra.mycarenet.be%2Fmycarenet%2Fhelpdesk-mycarenet&amp;data=05%7C02%7Cmarie-catherine.bardou%40riziv-inami.fgov.be%7Cf04d99b492fb4f5f5af608ddf6c6a7c8%7C66c008a4b56549a993c9c1e64cad2e11%7C0%7C0%7C638938055272461756%7CUnknown%7CTWFpbGZsb3d8eyJFbXB0eU1hcGkiOnRydWUsIlYiOiIwLjAuMDAwMCIsIlAiOiJXaW4zMiIsIkFOIjoiTWFpbCIsIldUIjoyfQ%3D%3D%7C0%7C%7C%7C&amp;sdata=ZreAw6yj3kYV9gamjACDtgLj4F0YaRJXNDYuRRr0hs4%3D&amp;reserved=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ycarenet@mc.be" TargetMode="External"/><Relationship Id="rId20" Type="http://schemas.openxmlformats.org/officeDocument/2006/relationships/hyperlink" Target="mailto:edbtpe@ml.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3.safelinks.protection.outlook.com/?url=https%3A%2F%2Fwebappsa.riziv-inami.fgov.be%2Fdocleg%2FAct%2Findex%2F500001%3Flang%3Dfr%26enforce%3DFalse%26dtrf%3D09%252F12%252F2025%252000%253A00%253A00%26all%3DFalse%231500174&amp;data=05%7C02%7Cmarie-catherine.bardou%40riziv-inami.fgov.be%7Cf04d99b492fb4f5f5af608ddf6c6a7c8%7C66c008a4b56549a993c9c1e64cad2e11%7C0%7C0%7C638938055272379739%7CUnknown%7CTWFpbGZsb3d8eyJFbXB0eU1hcGkiOnRydWUsIlYiOiIwLjAuMDAwMCIsIlAiOiJXaW4zMiIsIkFOIjoiTWFpbCIsIldUIjoyfQ%3D%3D%7C0%7C%7C%7C&amp;sdata=2PEY3l32Pnt4gbSSag2RIOKq4QdGL%2FMuYJ%2FpLjuBtA0%3D&amp;reserved=0" TargetMode="External"/><Relationship Id="rId24" Type="http://schemas.openxmlformats.org/officeDocument/2006/relationships/hyperlink" Target="mailto:900-factura@hr-rail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du.cpt@mc.be" TargetMode="External"/><Relationship Id="rId23" Type="http://schemas.openxmlformats.org/officeDocument/2006/relationships/hyperlink" Target="mailto:elecfac@caami-hziv.fgov.b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ur03.safelinks.protection.outlook.com/?url=https%3A%2F%2Fwww.ejustice.just.fgov.be%2Feli%2Farrete%2F1995%2F05%2F19%2F1995022284%2Fmoniteur&amp;data=05%7C02%7Cmarie-catherine.bardou%40riziv-inami.fgov.be%7Cf04d99b492fb4f5f5af608ddf6c6a7c8%7C66c008a4b56549a993c9c1e64cad2e11%7C0%7C0%7C638938055272358288%7CUnknown%7CTWFpbGZsb3d8eyJFbXB0eU1hcGkiOnRydWUsIlYiOiIwLjAuMDAwMCIsIlAiOiJXaW4zMiIsIkFOIjoiTWFpbCIsIldUIjoyfQ%3D%3D%7C0%7C%7C%7C&amp;sdata=bgyymb6voH%2FogmGTGsQTQi41eNzim3xa9%2FlaYB%2Fcj%2Fw%3D&amp;reserved=0" TargetMode="External"/><Relationship Id="rId19" Type="http://schemas.openxmlformats.org/officeDocument/2006/relationships/hyperlink" Target="mailto:helpdesk.carenet@solidaris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fra.mycarenet.be%2Ffaq&amp;data=05%7C02%7Cmarie-catherine.bardou%40riziv-inami.fgov.be%7Cf04d99b492fb4f5f5af608ddf6c6a7c8%7C66c008a4b56549a993c9c1e64cad2e11%7C0%7C0%7C638938055272339118%7CUnknown%7CTWFpbGZsb3d8eyJFbXB0eU1hcGkiOnRydWUsIlYiOiIwLjAuMDAwMCIsIlAiOiJXaW4zMiIsIkFOIjoiTWFpbCIsIldUIjoyfQ%3D%3D%7C0%7C%7C%7C&amp;sdata=LBp%2Fb%2FMe2BhxFDtzpovy9zdw1PFv7XXroNiLFULUjhA%3D&amp;reserved=0" TargetMode="External"/><Relationship Id="rId14" Type="http://schemas.openxmlformats.org/officeDocument/2006/relationships/hyperlink" Target="https://www.mc.be/fr/professionnels/contact-prestataires" TargetMode="External"/><Relationship Id="rId22" Type="http://schemas.openxmlformats.org/officeDocument/2006/relationships/hyperlink" Target="mailto:Opercontfac@mloz.b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27CB9-5CE6-421E-9284-09E666ED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1188</Words>
  <Characters>11138</Characters>
  <Application>Microsoft Office Word</Application>
  <DocSecurity>0</DocSecurity>
  <Lines>309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RIZIV-INAMI</Company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Marie-Catherine Bardou (RIZIV-INAMI)</dc:creator>
  <cp:keywords/>
  <dc:description/>
  <cp:lastModifiedBy>Marie-Catherine Bardou (RIZIV-INAMI)</cp:lastModifiedBy>
  <cp:revision>5</cp:revision>
  <dcterms:created xsi:type="dcterms:W3CDTF">2025-09-24T11:48:00Z</dcterms:created>
  <dcterms:modified xsi:type="dcterms:W3CDTF">2025-10-07T12:12:00Z</dcterms:modified>
</cp:coreProperties>
</file>